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B5" w:rsidRPr="003109B7" w:rsidRDefault="00095460" w:rsidP="008104AE">
      <w:pPr>
        <w:spacing w:before="360" w:after="0" w:line="240" w:lineRule="auto"/>
        <w:ind w:left="6372"/>
        <w:jc w:val="right"/>
        <w:rPr>
          <w:rFonts w:ascii="Times New Roman" w:hAnsi="Times New Roman"/>
          <w:sz w:val="24"/>
          <w:szCs w:val="24"/>
        </w:rPr>
      </w:pPr>
      <w:r w:rsidRPr="00CD4B10">
        <w:rPr>
          <w:rFonts w:ascii="Times New Roman" w:hAnsi="Times New Roman"/>
          <w:sz w:val="20"/>
          <w:szCs w:val="24"/>
        </w:rPr>
        <w:t>……………………………………</w:t>
      </w:r>
    </w:p>
    <w:p w:rsidR="00095460" w:rsidRPr="00CD4B10" w:rsidRDefault="00CD4B10" w:rsidP="00CD4B10">
      <w:pPr>
        <w:tabs>
          <w:tab w:val="center" w:pos="8789"/>
        </w:tabs>
        <w:spacing w:after="0" w:line="240" w:lineRule="auto"/>
        <w:rPr>
          <w:rFonts w:ascii="Times New Roman" w:hAnsi="Times New Roman"/>
          <w:sz w:val="16"/>
          <w:szCs w:val="16"/>
        </w:rPr>
      </w:pPr>
      <w:r>
        <w:rPr>
          <w:rFonts w:ascii="Times New Roman" w:hAnsi="Times New Roman"/>
          <w:sz w:val="24"/>
          <w:szCs w:val="24"/>
        </w:rPr>
        <w:tab/>
      </w:r>
      <w:r>
        <w:rPr>
          <w:rFonts w:ascii="Times New Roman" w:hAnsi="Times New Roman"/>
          <w:sz w:val="16"/>
          <w:szCs w:val="16"/>
        </w:rPr>
        <w:t>(miejscowość, data)</w:t>
      </w:r>
    </w:p>
    <w:p w:rsidR="000949B5" w:rsidRPr="00CD4B10" w:rsidRDefault="00CD4B10" w:rsidP="00CD4B10">
      <w:pPr>
        <w:spacing w:before="480" w:after="0" w:line="240" w:lineRule="auto"/>
        <w:rPr>
          <w:rFonts w:ascii="Times New Roman" w:hAnsi="Times New Roman"/>
          <w:sz w:val="20"/>
          <w:szCs w:val="24"/>
        </w:rPr>
      </w:pPr>
      <w:r w:rsidRPr="00CD4B10">
        <w:rPr>
          <w:rFonts w:ascii="Times New Roman" w:hAnsi="Times New Roman"/>
          <w:sz w:val="20"/>
          <w:szCs w:val="24"/>
        </w:rPr>
        <w:t>……………………………………</w:t>
      </w:r>
    </w:p>
    <w:p w:rsidR="000949B5" w:rsidRPr="002E39E5" w:rsidRDefault="00CD4B10" w:rsidP="00CD4B10">
      <w:pPr>
        <w:tabs>
          <w:tab w:val="center" w:pos="1418"/>
          <w:tab w:val="right" w:pos="10204"/>
        </w:tabs>
        <w:spacing w:line="240" w:lineRule="auto"/>
        <w:rPr>
          <w:rFonts w:ascii="Times New Roman" w:hAnsi="Times New Roman"/>
          <w:sz w:val="16"/>
          <w:szCs w:val="18"/>
        </w:rPr>
      </w:pPr>
      <w:r>
        <w:rPr>
          <w:rFonts w:ascii="Times New Roman" w:hAnsi="Times New Roman"/>
          <w:sz w:val="18"/>
          <w:szCs w:val="18"/>
        </w:rPr>
        <w:tab/>
      </w:r>
      <w:r w:rsidRPr="002E39E5">
        <w:rPr>
          <w:rFonts w:ascii="Times New Roman" w:hAnsi="Times New Roman"/>
          <w:sz w:val="16"/>
          <w:szCs w:val="18"/>
        </w:rPr>
        <w:t>(pieczęć)</w:t>
      </w:r>
    </w:p>
    <w:p w:rsidR="000949B5" w:rsidRPr="00694E51" w:rsidRDefault="00CD4B10" w:rsidP="00694E51">
      <w:pPr>
        <w:pStyle w:val="Nagwek1"/>
        <w:spacing w:before="720" w:after="480"/>
        <w:jc w:val="center"/>
        <w:rPr>
          <w:rFonts w:ascii="Times New Roman" w:hAnsi="Times New Roman" w:cs="Times New Roman"/>
          <w:b/>
          <w:color w:val="auto"/>
          <w:spacing w:val="40"/>
          <w:sz w:val="28"/>
        </w:rPr>
      </w:pPr>
      <w:r w:rsidRPr="00694E51">
        <w:rPr>
          <w:rFonts w:ascii="Times New Roman" w:hAnsi="Times New Roman" w:cs="Times New Roman"/>
          <w:b/>
          <w:color w:val="auto"/>
          <w:spacing w:val="40"/>
          <w:sz w:val="28"/>
        </w:rPr>
        <w:t>OŚWIADCZENI</w:t>
      </w:r>
      <w:r w:rsidR="000949B5" w:rsidRPr="00694E51">
        <w:rPr>
          <w:rFonts w:ascii="Times New Roman" w:hAnsi="Times New Roman" w:cs="Times New Roman"/>
          <w:b/>
          <w:color w:val="auto"/>
          <w:spacing w:val="40"/>
          <w:sz w:val="28"/>
        </w:rPr>
        <w:t>E</w:t>
      </w:r>
    </w:p>
    <w:p w:rsidR="000949B5" w:rsidRPr="003109B7" w:rsidRDefault="00CD4B10" w:rsidP="00CD4B10">
      <w:pPr>
        <w:pStyle w:val="Akapitzlist"/>
        <w:tabs>
          <w:tab w:val="left" w:leader="dot" w:pos="10204"/>
        </w:tabs>
        <w:ind w:left="0"/>
        <w:contextualSpacing/>
        <w:jc w:val="both"/>
        <w:rPr>
          <w:sz w:val="24"/>
          <w:szCs w:val="24"/>
        </w:rPr>
      </w:pPr>
      <w:r>
        <w:rPr>
          <w:sz w:val="24"/>
          <w:szCs w:val="24"/>
        </w:rPr>
        <w:tab/>
      </w:r>
    </w:p>
    <w:p w:rsidR="000949B5" w:rsidRPr="003109B7" w:rsidRDefault="00095460" w:rsidP="000949B5">
      <w:pPr>
        <w:spacing w:after="60"/>
        <w:jc w:val="center"/>
        <w:rPr>
          <w:rFonts w:ascii="Times New Roman" w:hAnsi="Times New Roman"/>
          <w:i/>
          <w:sz w:val="24"/>
          <w:szCs w:val="24"/>
        </w:rPr>
      </w:pPr>
      <w:r w:rsidRPr="003109B7">
        <w:rPr>
          <w:rFonts w:ascii="Times New Roman" w:hAnsi="Times New Roman"/>
          <w:i/>
          <w:sz w:val="24"/>
          <w:szCs w:val="24"/>
        </w:rPr>
        <w:t>/</w:t>
      </w:r>
      <w:r w:rsidR="009C2B71">
        <w:rPr>
          <w:rFonts w:ascii="Times New Roman" w:hAnsi="Times New Roman"/>
          <w:i/>
          <w:sz w:val="24"/>
          <w:szCs w:val="24"/>
        </w:rPr>
        <w:t xml:space="preserve"> </w:t>
      </w:r>
      <w:bookmarkStart w:id="0" w:name="_GoBack"/>
      <w:bookmarkEnd w:id="0"/>
      <w:r w:rsidRPr="003109B7">
        <w:rPr>
          <w:rFonts w:ascii="Times New Roman" w:hAnsi="Times New Roman"/>
          <w:i/>
          <w:sz w:val="24"/>
          <w:szCs w:val="24"/>
        </w:rPr>
        <w:t>nazwa podmiotu, kontrahenta</w:t>
      </w:r>
      <w:r w:rsidR="009C2B71">
        <w:rPr>
          <w:rFonts w:ascii="Times New Roman" w:hAnsi="Times New Roman"/>
          <w:i/>
          <w:sz w:val="24"/>
          <w:szCs w:val="24"/>
        </w:rPr>
        <w:t xml:space="preserve"> </w:t>
      </w:r>
      <w:r w:rsidRPr="003109B7">
        <w:rPr>
          <w:rFonts w:ascii="Times New Roman" w:hAnsi="Times New Roman"/>
          <w:i/>
          <w:sz w:val="24"/>
          <w:szCs w:val="24"/>
        </w:rPr>
        <w:t>/</w:t>
      </w:r>
      <w:r w:rsidR="009C2B71">
        <w:rPr>
          <w:rFonts w:ascii="Times New Roman" w:hAnsi="Times New Roman"/>
          <w:i/>
          <w:sz w:val="24"/>
          <w:szCs w:val="24"/>
        </w:rPr>
        <w:t xml:space="preserve"> </w:t>
      </w:r>
      <w:r w:rsidR="000949B5" w:rsidRPr="003109B7">
        <w:rPr>
          <w:rFonts w:ascii="Times New Roman" w:hAnsi="Times New Roman"/>
          <w:i/>
          <w:sz w:val="24"/>
          <w:szCs w:val="24"/>
        </w:rPr>
        <w:t>adres siedziby</w:t>
      </w:r>
      <w:r w:rsidR="009C2B71">
        <w:rPr>
          <w:rFonts w:ascii="Times New Roman" w:hAnsi="Times New Roman"/>
          <w:i/>
          <w:sz w:val="24"/>
          <w:szCs w:val="24"/>
        </w:rPr>
        <w:t xml:space="preserve"> </w:t>
      </w:r>
      <w:r w:rsidR="000949B5" w:rsidRPr="003109B7">
        <w:rPr>
          <w:rFonts w:ascii="Times New Roman" w:hAnsi="Times New Roman"/>
          <w:i/>
          <w:sz w:val="24"/>
          <w:szCs w:val="24"/>
        </w:rPr>
        <w:t>/</w:t>
      </w:r>
      <w:r w:rsidR="009C2B71">
        <w:rPr>
          <w:rFonts w:ascii="Times New Roman" w:hAnsi="Times New Roman"/>
          <w:i/>
          <w:sz w:val="24"/>
          <w:szCs w:val="24"/>
        </w:rPr>
        <w:t xml:space="preserve"> </w:t>
      </w:r>
      <w:r w:rsidR="000949B5" w:rsidRPr="003109B7">
        <w:rPr>
          <w:rFonts w:ascii="Times New Roman" w:hAnsi="Times New Roman"/>
          <w:i/>
          <w:sz w:val="24"/>
          <w:szCs w:val="24"/>
        </w:rPr>
        <w:t>NIP</w:t>
      </w:r>
      <w:r w:rsidR="009C2B71">
        <w:rPr>
          <w:rFonts w:ascii="Times New Roman" w:hAnsi="Times New Roman"/>
          <w:i/>
          <w:sz w:val="24"/>
          <w:szCs w:val="24"/>
        </w:rPr>
        <w:t xml:space="preserve"> </w:t>
      </w:r>
      <w:r w:rsidR="000949B5" w:rsidRPr="003109B7">
        <w:rPr>
          <w:rFonts w:ascii="Times New Roman" w:hAnsi="Times New Roman"/>
          <w:i/>
          <w:sz w:val="24"/>
          <w:szCs w:val="24"/>
        </w:rPr>
        <w:t>/</w:t>
      </w:r>
      <w:r w:rsidR="009C2B71">
        <w:rPr>
          <w:rFonts w:ascii="Times New Roman" w:hAnsi="Times New Roman"/>
          <w:i/>
          <w:sz w:val="24"/>
          <w:szCs w:val="24"/>
        </w:rPr>
        <w:t xml:space="preserve"> </w:t>
      </w:r>
      <w:r w:rsidR="000949B5" w:rsidRPr="003109B7">
        <w:rPr>
          <w:rFonts w:ascii="Times New Roman" w:hAnsi="Times New Roman"/>
          <w:i/>
          <w:sz w:val="24"/>
          <w:szCs w:val="24"/>
        </w:rPr>
        <w:t>REGON</w:t>
      </w:r>
      <w:r w:rsidR="009C2B71">
        <w:rPr>
          <w:rFonts w:ascii="Times New Roman" w:hAnsi="Times New Roman"/>
          <w:i/>
          <w:sz w:val="24"/>
          <w:szCs w:val="24"/>
        </w:rPr>
        <w:t xml:space="preserve"> </w:t>
      </w:r>
      <w:r w:rsidR="00CD4B10">
        <w:rPr>
          <w:rFonts w:ascii="Times New Roman" w:hAnsi="Times New Roman"/>
          <w:i/>
          <w:sz w:val="24"/>
          <w:szCs w:val="24"/>
        </w:rPr>
        <w:t>/</w:t>
      </w:r>
    </w:p>
    <w:p w:rsidR="000949B5" w:rsidRPr="005C45C3" w:rsidRDefault="00CD4B10" w:rsidP="00CD4B10">
      <w:pPr>
        <w:tabs>
          <w:tab w:val="left" w:leader="dot" w:pos="10204"/>
        </w:tabs>
        <w:spacing w:before="240" w:after="120"/>
        <w:jc w:val="both"/>
        <w:rPr>
          <w:rFonts w:ascii="Times New Roman" w:hAnsi="Times New Roman"/>
          <w:sz w:val="24"/>
          <w:szCs w:val="24"/>
        </w:rPr>
      </w:pPr>
      <w:r w:rsidRPr="005C45C3">
        <w:rPr>
          <w:rFonts w:ascii="Times New Roman" w:hAnsi="Times New Roman"/>
          <w:sz w:val="24"/>
          <w:szCs w:val="24"/>
        </w:rPr>
        <w:tab/>
      </w:r>
    </w:p>
    <w:p w:rsidR="00CD4B10" w:rsidRPr="005C45C3" w:rsidRDefault="00CD4B10" w:rsidP="00CD4B10">
      <w:pPr>
        <w:tabs>
          <w:tab w:val="left" w:leader="dot" w:pos="10204"/>
        </w:tabs>
        <w:spacing w:before="240" w:after="120"/>
        <w:jc w:val="both"/>
        <w:rPr>
          <w:rFonts w:ascii="Times New Roman" w:hAnsi="Times New Roman"/>
          <w:sz w:val="24"/>
          <w:szCs w:val="24"/>
        </w:rPr>
      </w:pPr>
      <w:r w:rsidRPr="005C45C3">
        <w:rPr>
          <w:rFonts w:ascii="Times New Roman" w:hAnsi="Times New Roman"/>
          <w:sz w:val="24"/>
          <w:szCs w:val="24"/>
        </w:rPr>
        <w:tab/>
      </w:r>
    </w:p>
    <w:p w:rsidR="007A6F99" w:rsidRPr="003109B7" w:rsidRDefault="003D32EC" w:rsidP="00CD4B10">
      <w:pPr>
        <w:spacing w:before="600" w:after="240"/>
        <w:jc w:val="both"/>
        <w:rPr>
          <w:rFonts w:ascii="Times New Roman" w:hAnsi="Times New Roman"/>
          <w:b/>
          <w:sz w:val="24"/>
          <w:szCs w:val="24"/>
        </w:rPr>
      </w:pPr>
      <w:r w:rsidRPr="003109B7">
        <w:rPr>
          <w:rFonts w:ascii="Times New Roman" w:hAnsi="Times New Roman"/>
          <w:b/>
          <w:sz w:val="24"/>
          <w:szCs w:val="24"/>
        </w:rPr>
        <w:t>P</w:t>
      </w:r>
      <w:r w:rsidR="007A6F99" w:rsidRPr="003109B7">
        <w:rPr>
          <w:rFonts w:ascii="Times New Roman" w:hAnsi="Times New Roman"/>
          <w:b/>
          <w:sz w:val="24"/>
          <w:szCs w:val="24"/>
        </w:rPr>
        <w:t>rowadzę</w:t>
      </w:r>
      <w:r w:rsidR="007A6F99" w:rsidRPr="003109B7">
        <w:rPr>
          <w:rFonts w:ascii="Times New Roman" w:hAnsi="Times New Roman"/>
          <w:b/>
          <w:sz w:val="24"/>
          <w:szCs w:val="24"/>
          <w:vertAlign w:val="superscript"/>
        </w:rPr>
        <w:t xml:space="preserve"> </w:t>
      </w:r>
      <w:r w:rsidR="00095460" w:rsidRPr="003109B7">
        <w:rPr>
          <w:rFonts w:ascii="Times New Roman" w:hAnsi="Times New Roman"/>
          <w:b/>
          <w:sz w:val="24"/>
          <w:szCs w:val="24"/>
        </w:rPr>
        <w:t xml:space="preserve">działalność </w:t>
      </w:r>
      <w:r w:rsidR="007A6F99" w:rsidRPr="003109B7">
        <w:rPr>
          <w:rFonts w:ascii="Times New Roman" w:hAnsi="Times New Roman"/>
          <w:b/>
          <w:sz w:val="24"/>
          <w:szCs w:val="24"/>
        </w:rPr>
        <w:t xml:space="preserve">gospodarczą wykonywaną </w:t>
      </w:r>
      <w:r w:rsidR="00095460" w:rsidRPr="003109B7">
        <w:rPr>
          <w:rFonts w:ascii="Times New Roman" w:hAnsi="Times New Roman"/>
          <w:b/>
          <w:sz w:val="24"/>
          <w:szCs w:val="24"/>
        </w:rPr>
        <w:t>po</w:t>
      </w:r>
      <w:r w:rsidR="007A6F99" w:rsidRPr="003109B7">
        <w:rPr>
          <w:rFonts w:ascii="Times New Roman" w:hAnsi="Times New Roman"/>
          <w:b/>
          <w:sz w:val="24"/>
          <w:szCs w:val="24"/>
        </w:rPr>
        <w:t>przez:</w:t>
      </w:r>
    </w:p>
    <w:p w:rsidR="007A6F99" w:rsidRPr="003109B7" w:rsidRDefault="007A6F99" w:rsidP="000949B5">
      <w:pPr>
        <w:spacing w:after="120"/>
        <w:jc w:val="both"/>
        <w:rPr>
          <w:rFonts w:ascii="Times New Roman" w:hAnsi="Times New Roman"/>
          <w:b/>
          <w:i/>
          <w:sz w:val="18"/>
          <w:szCs w:val="18"/>
        </w:rPr>
      </w:pPr>
      <w:r w:rsidRPr="003109B7">
        <w:rPr>
          <w:rFonts w:ascii="Times New Roman" w:hAnsi="Times New Roman"/>
          <w:b/>
          <w:i/>
          <w:sz w:val="18"/>
          <w:szCs w:val="18"/>
        </w:rPr>
        <w:t>zaznacz</w:t>
      </w:r>
      <w:r w:rsidR="00095460" w:rsidRPr="003109B7">
        <w:rPr>
          <w:rFonts w:ascii="Times New Roman" w:hAnsi="Times New Roman"/>
          <w:b/>
          <w:i/>
          <w:sz w:val="18"/>
          <w:szCs w:val="18"/>
        </w:rPr>
        <w:t>yć właściw</w:t>
      </w:r>
      <w:r w:rsidR="003109B7" w:rsidRPr="003109B7">
        <w:rPr>
          <w:rFonts w:ascii="Times New Roman" w:hAnsi="Times New Roman"/>
          <w:b/>
          <w:i/>
          <w:sz w:val="18"/>
          <w:szCs w:val="18"/>
        </w:rPr>
        <w:t>e:</w:t>
      </w:r>
    </w:p>
    <w:p w:rsidR="003109B7" w:rsidRDefault="002973D8" w:rsidP="008C7D6F">
      <w:pPr>
        <w:tabs>
          <w:tab w:val="left" w:pos="567"/>
        </w:tabs>
        <w:spacing w:after="60"/>
        <w:ind w:left="567" w:hanging="567"/>
        <w:jc w:val="both"/>
        <w:rPr>
          <w:rFonts w:ascii="Times New Roman" w:hAnsi="Times New Roman"/>
        </w:rPr>
      </w:pPr>
      <w:sdt>
        <w:sdtPr>
          <w:rPr>
            <w:rFonts w:ascii="Times New Roman" w:hAnsi="Times New Roman"/>
            <w:b/>
            <w:sz w:val="24"/>
            <w:szCs w:val="24"/>
          </w:rPr>
          <w:id w:val="2037387130"/>
          <w14:checkbox>
            <w14:checked w14:val="0"/>
            <w14:checkedState w14:val="2612" w14:font="MS Gothic"/>
            <w14:uncheckedState w14:val="2610" w14:font="MS Gothic"/>
          </w14:checkbox>
        </w:sdtPr>
        <w:sdtEndPr/>
        <w:sdtContent>
          <w:r w:rsidR="001C56EC">
            <w:rPr>
              <w:rFonts w:ascii="MS Gothic" w:eastAsia="MS Gothic" w:hAnsi="MS Gothic" w:hint="eastAsia"/>
              <w:b/>
              <w:sz w:val="24"/>
              <w:szCs w:val="24"/>
            </w:rPr>
            <w:t>☐</w:t>
          </w:r>
        </w:sdtContent>
      </w:sdt>
      <w:r w:rsidR="008C7D6F">
        <w:rPr>
          <w:rFonts w:ascii="Times New Roman" w:hAnsi="Times New Roman"/>
          <w:b/>
          <w:sz w:val="24"/>
          <w:szCs w:val="24"/>
        </w:rPr>
        <w:tab/>
      </w:r>
      <w:r w:rsidR="000A40D3" w:rsidRPr="003109B7">
        <w:rPr>
          <w:rFonts w:ascii="Times New Roman" w:hAnsi="Times New Roman"/>
          <w:b/>
          <w:sz w:val="24"/>
          <w:szCs w:val="24"/>
        </w:rPr>
        <w:t>mikroprzedsiębiorstwo, małe prz</w:t>
      </w:r>
      <w:r w:rsidR="008C7D6F">
        <w:rPr>
          <w:rFonts w:ascii="Times New Roman" w:hAnsi="Times New Roman"/>
          <w:b/>
          <w:sz w:val="24"/>
          <w:szCs w:val="24"/>
        </w:rPr>
        <w:t>edsiębiorstwo</w:t>
      </w:r>
      <w:r w:rsidR="000A40D3" w:rsidRPr="003109B7">
        <w:rPr>
          <w:rFonts w:ascii="Times New Roman" w:hAnsi="Times New Roman"/>
          <w:b/>
          <w:sz w:val="24"/>
          <w:szCs w:val="24"/>
        </w:rPr>
        <w:t>, średnie przedsiębiorstwo</w:t>
      </w:r>
      <w:r w:rsidR="001C56EC">
        <w:rPr>
          <w:rFonts w:ascii="Times New Roman" w:hAnsi="Times New Roman"/>
          <w:b/>
          <w:sz w:val="24"/>
          <w:szCs w:val="24"/>
        </w:rPr>
        <w:t xml:space="preserve"> </w:t>
      </w:r>
      <w:r w:rsidR="000065B9" w:rsidRPr="003109B7">
        <w:rPr>
          <w:rFonts w:ascii="Times New Roman" w:hAnsi="Times New Roman"/>
          <w:sz w:val="24"/>
          <w:szCs w:val="24"/>
        </w:rPr>
        <w:t>(</w:t>
      </w:r>
      <w:r w:rsidR="000065B9" w:rsidRPr="001C56EC">
        <w:rPr>
          <w:rFonts w:ascii="Times New Roman" w:hAnsi="Times New Roman"/>
          <w:b/>
          <w:sz w:val="24"/>
          <w:szCs w:val="24"/>
        </w:rPr>
        <w:t>MŚP</w:t>
      </w:r>
      <w:r w:rsidR="001C56EC">
        <w:rPr>
          <w:rStyle w:val="Odwoanieprzypisudolnego"/>
          <w:rFonts w:ascii="Times New Roman" w:hAnsi="Times New Roman"/>
          <w:sz w:val="24"/>
          <w:szCs w:val="24"/>
        </w:rPr>
        <w:footnoteReference w:id="1"/>
      </w:r>
      <w:r w:rsidR="000065B9" w:rsidRPr="003109B7">
        <w:rPr>
          <w:rFonts w:ascii="Times New Roman" w:hAnsi="Times New Roman"/>
          <w:sz w:val="24"/>
          <w:szCs w:val="24"/>
        </w:rPr>
        <w:t>)</w:t>
      </w:r>
      <w:r w:rsidR="000949B5" w:rsidRPr="003109B7">
        <w:rPr>
          <w:rFonts w:ascii="Times New Roman" w:hAnsi="Times New Roman"/>
          <w:sz w:val="24"/>
          <w:szCs w:val="24"/>
        </w:rPr>
        <w:t xml:space="preserve"> </w:t>
      </w:r>
      <w:r w:rsidR="003109B7" w:rsidRPr="003109B7">
        <w:rPr>
          <w:rFonts w:ascii="Times New Roman" w:hAnsi="Times New Roman"/>
        </w:rPr>
        <w:t>w rozumieniu przepisów rozporządzenia Komisji (UE) Nr 702/2014 z dnia 25 czerwca 2014 r. uznającego niektóre kategorie pomocy w sektorach rolnym i le</w:t>
      </w:r>
      <w:r w:rsidR="003109B7">
        <w:rPr>
          <w:rFonts w:ascii="Times New Roman" w:hAnsi="Times New Roman"/>
        </w:rPr>
        <w:t>ś</w:t>
      </w:r>
      <w:r w:rsidR="003109B7" w:rsidRPr="003109B7">
        <w:rPr>
          <w:rFonts w:ascii="Times New Roman" w:hAnsi="Times New Roman"/>
        </w:rPr>
        <w:t>nym oraz na obszarach wiejskich za zgodne z rynkiem wewnętrznym w</w:t>
      </w:r>
      <w:r w:rsidR="008C7D6F">
        <w:rPr>
          <w:rFonts w:ascii="Times New Roman" w:hAnsi="Times New Roman"/>
        </w:rPr>
        <w:t> </w:t>
      </w:r>
      <w:r w:rsidR="003109B7" w:rsidRPr="003109B7">
        <w:rPr>
          <w:rFonts w:ascii="Times New Roman" w:hAnsi="Times New Roman"/>
        </w:rPr>
        <w:t>zastosowaniu art. 107 i 108 Traktatu o funkcjonowaniu Unii Europejskiej (Dz.U.UE.L.2014.193.1)</w:t>
      </w:r>
    </w:p>
    <w:p w:rsidR="00FB386C" w:rsidRPr="003109B7" w:rsidRDefault="00FB386C" w:rsidP="003109B7">
      <w:pPr>
        <w:spacing w:after="60"/>
        <w:ind w:left="567"/>
        <w:jc w:val="both"/>
        <w:rPr>
          <w:rFonts w:ascii="Times New Roman" w:hAnsi="Times New Roman"/>
        </w:rPr>
      </w:pPr>
      <w:r>
        <w:rPr>
          <w:rFonts w:ascii="Times New Roman" w:hAnsi="Times New Roman"/>
          <w:b/>
          <w:sz w:val="24"/>
          <w:szCs w:val="24"/>
        </w:rPr>
        <w:t xml:space="preserve">Uwaga: w przypadku rolników posiadających gospodarstwa rolne należy podać numer identyfikacyjny nadany przez ARiMR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70"/>
        <w:gridCol w:w="1070"/>
        <w:gridCol w:w="1069"/>
        <w:gridCol w:w="1069"/>
        <w:gridCol w:w="1069"/>
        <w:gridCol w:w="1070"/>
        <w:gridCol w:w="1070"/>
        <w:gridCol w:w="1070"/>
      </w:tblGrid>
      <w:tr w:rsidR="00FB386C" w:rsidRPr="00D62BBA" w:rsidTr="00D62BBA">
        <w:tc>
          <w:tcPr>
            <w:tcW w:w="1149" w:type="dxa"/>
          </w:tcPr>
          <w:p w:rsidR="00FB386C" w:rsidRPr="00D62BBA" w:rsidRDefault="00FB386C" w:rsidP="00D62BBA">
            <w:pPr>
              <w:spacing w:after="60"/>
              <w:jc w:val="both"/>
              <w:rPr>
                <w:rFonts w:ascii="Times New Roman" w:hAnsi="Times New Roman"/>
              </w:rPr>
            </w:pPr>
          </w:p>
        </w:tc>
        <w:tc>
          <w:tcPr>
            <w:tcW w:w="1149" w:type="dxa"/>
          </w:tcPr>
          <w:p w:rsidR="00FB386C" w:rsidRPr="00D62BBA" w:rsidRDefault="00FB386C" w:rsidP="00D62BBA">
            <w:pPr>
              <w:spacing w:after="60"/>
              <w:jc w:val="both"/>
              <w:rPr>
                <w:rFonts w:ascii="Times New Roman" w:hAnsi="Times New Roman"/>
              </w:rPr>
            </w:pPr>
          </w:p>
        </w:tc>
        <w:tc>
          <w:tcPr>
            <w:tcW w:w="1149" w:type="dxa"/>
          </w:tcPr>
          <w:p w:rsidR="00FB386C" w:rsidRPr="00D62BBA" w:rsidRDefault="00FB386C" w:rsidP="00D62BBA">
            <w:pPr>
              <w:spacing w:after="60"/>
              <w:jc w:val="both"/>
              <w:rPr>
                <w:rFonts w:ascii="Times New Roman" w:hAnsi="Times New Roman"/>
              </w:rPr>
            </w:pPr>
          </w:p>
        </w:tc>
        <w:tc>
          <w:tcPr>
            <w:tcW w:w="1149" w:type="dxa"/>
          </w:tcPr>
          <w:p w:rsidR="00FB386C" w:rsidRPr="00D62BBA" w:rsidRDefault="00FB386C" w:rsidP="00D62BBA">
            <w:pPr>
              <w:spacing w:after="60"/>
              <w:jc w:val="both"/>
              <w:rPr>
                <w:rFonts w:ascii="Times New Roman" w:hAnsi="Times New Roman"/>
              </w:rPr>
            </w:pPr>
          </w:p>
        </w:tc>
        <w:tc>
          <w:tcPr>
            <w:tcW w:w="1149" w:type="dxa"/>
          </w:tcPr>
          <w:p w:rsidR="00FB386C" w:rsidRPr="00D62BBA" w:rsidRDefault="00FB386C" w:rsidP="00D62BBA">
            <w:pPr>
              <w:spacing w:after="60"/>
              <w:jc w:val="both"/>
              <w:rPr>
                <w:rFonts w:ascii="Times New Roman" w:hAnsi="Times New Roman"/>
              </w:rPr>
            </w:pPr>
          </w:p>
        </w:tc>
        <w:tc>
          <w:tcPr>
            <w:tcW w:w="1149" w:type="dxa"/>
          </w:tcPr>
          <w:p w:rsidR="00FB386C" w:rsidRPr="00D62BBA" w:rsidRDefault="00FB386C" w:rsidP="00D62BBA">
            <w:pPr>
              <w:spacing w:after="60"/>
              <w:jc w:val="both"/>
              <w:rPr>
                <w:rFonts w:ascii="Times New Roman" w:hAnsi="Times New Roman"/>
              </w:rPr>
            </w:pPr>
          </w:p>
        </w:tc>
        <w:tc>
          <w:tcPr>
            <w:tcW w:w="1150" w:type="dxa"/>
          </w:tcPr>
          <w:p w:rsidR="00FB386C" w:rsidRPr="00D62BBA" w:rsidRDefault="00FB386C" w:rsidP="00D62BBA">
            <w:pPr>
              <w:spacing w:after="60"/>
              <w:jc w:val="both"/>
              <w:rPr>
                <w:rFonts w:ascii="Times New Roman" w:hAnsi="Times New Roman"/>
              </w:rPr>
            </w:pPr>
          </w:p>
        </w:tc>
        <w:tc>
          <w:tcPr>
            <w:tcW w:w="1150" w:type="dxa"/>
          </w:tcPr>
          <w:p w:rsidR="00FB386C" w:rsidRPr="00D62BBA" w:rsidRDefault="00FB386C" w:rsidP="00D62BBA">
            <w:pPr>
              <w:spacing w:after="60"/>
              <w:jc w:val="both"/>
              <w:rPr>
                <w:rFonts w:ascii="Times New Roman" w:hAnsi="Times New Roman"/>
              </w:rPr>
            </w:pPr>
          </w:p>
        </w:tc>
        <w:tc>
          <w:tcPr>
            <w:tcW w:w="1150" w:type="dxa"/>
          </w:tcPr>
          <w:p w:rsidR="00FB386C" w:rsidRPr="00D62BBA" w:rsidRDefault="00FB386C" w:rsidP="00D62BBA">
            <w:pPr>
              <w:spacing w:after="60"/>
              <w:jc w:val="both"/>
              <w:rPr>
                <w:rFonts w:ascii="Times New Roman" w:hAnsi="Times New Roman"/>
              </w:rPr>
            </w:pPr>
          </w:p>
        </w:tc>
      </w:tr>
    </w:tbl>
    <w:p w:rsidR="00181F95" w:rsidRPr="003109B7" w:rsidRDefault="00181F95" w:rsidP="008C7D6F">
      <w:pPr>
        <w:spacing w:before="240" w:after="240"/>
        <w:ind w:left="567"/>
        <w:jc w:val="both"/>
        <w:rPr>
          <w:rFonts w:ascii="Times New Roman" w:hAnsi="Times New Roman"/>
          <w:sz w:val="24"/>
          <w:szCs w:val="24"/>
        </w:rPr>
      </w:pPr>
      <w:r w:rsidRPr="003109B7">
        <w:rPr>
          <w:rFonts w:ascii="Times New Roman" w:hAnsi="Times New Roman"/>
          <w:b/>
          <w:sz w:val="24"/>
          <w:szCs w:val="24"/>
        </w:rPr>
        <w:t>lub</w:t>
      </w:r>
    </w:p>
    <w:p w:rsidR="000949B5" w:rsidRPr="008C7D6F" w:rsidRDefault="002973D8" w:rsidP="008C7D6F">
      <w:pPr>
        <w:tabs>
          <w:tab w:val="left" w:pos="567"/>
        </w:tabs>
        <w:spacing w:after="60"/>
        <w:ind w:left="567" w:hanging="567"/>
        <w:jc w:val="both"/>
        <w:rPr>
          <w:rFonts w:ascii="Times New Roman" w:hAnsi="Times New Roman"/>
        </w:rPr>
      </w:pPr>
      <w:sdt>
        <w:sdtPr>
          <w:rPr>
            <w:rFonts w:ascii="Times New Roman" w:hAnsi="Times New Roman"/>
            <w:b/>
            <w:sz w:val="24"/>
            <w:szCs w:val="24"/>
          </w:rPr>
          <w:id w:val="185568808"/>
          <w14:checkbox>
            <w14:checked w14:val="0"/>
            <w14:checkedState w14:val="2612" w14:font="MS Gothic"/>
            <w14:uncheckedState w14:val="2610" w14:font="MS Gothic"/>
          </w14:checkbox>
        </w:sdtPr>
        <w:sdtEndPr/>
        <w:sdtContent>
          <w:r w:rsidR="008C7D6F">
            <w:rPr>
              <w:rFonts w:ascii="MS Gothic" w:eastAsia="MS Gothic" w:hAnsi="MS Gothic" w:hint="eastAsia"/>
              <w:b/>
              <w:sz w:val="24"/>
              <w:szCs w:val="24"/>
            </w:rPr>
            <w:t>☐</w:t>
          </w:r>
        </w:sdtContent>
      </w:sdt>
      <w:r w:rsidR="008C7D6F">
        <w:rPr>
          <w:rFonts w:ascii="Times New Roman" w:hAnsi="Times New Roman"/>
          <w:b/>
          <w:sz w:val="24"/>
          <w:szCs w:val="24"/>
        </w:rPr>
        <w:tab/>
      </w:r>
      <w:r w:rsidR="007A6F99" w:rsidRPr="003109B7">
        <w:rPr>
          <w:rFonts w:ascii="Times New Roman" w:hAnsi="Times New Roman"/>
          <w:b/>
          <w:sz w:val="24"/>
          <w:szCs w:val="24"/>
        </w:rPr>
        <w:t>duże przedsiębiorstwo</w:t>
      </w:r>
      <w:r w:rsidR="007A6F99" w:rsidRPr="003109B7">
        <w:rPr>
          <w:rFonts w:ascii="Times New Roman" w:hAnsi="Times New Roman"/>
          <w:sz w:val="24"/>
          <w:szCs w:val="24"/>
        </w:rPr>
        <w:t xml:space="preserve"> </w:t>
      </w:r>
      <w:r w:rsidR="003109B7" w:rsidRPr="003109B7">
        <w:rPr>
          <w:rFonts w:ascii="Times New Roman" w:hAnsi="Times New Roman"/>
        </w:rPr>
        <w:t>w rozumieniu przepisów rozporządzenia Komisji (UE) Nr 702/2014 z dnia 25</w:t>
      </w:r>
      <w:r w:rsidR="008C7D6F">
        <w:rPr>
          <w:rFonts w:ascii="Times New Roman" w:hAnsi="Times New Roman"/>
        </w:rPr>
        <w:t> </w:t>
      </w:r>
      <w:r w:rsidR="003109B7" w:rsidRPr="003109B7">
        <w:rPr>
          <w:rFonts w:ascii="Times New Roman" w:hAnsi="Times New Roman"/>
        </w:rPr>
        <w:t>czerwca 2014 r. uznającego niektóre kategorie pomocy w sektorach rolnym i leśnym oraz na obszarach wiejskich za zgodne z rynkiem wewnętrznym w zastosowaniu art. 107 i 108 Traktatu o funkcjonowaniu Unii Europejskiej (Dz.U.UE.L.2014.193.1)</w:t>
      </w:r>
    </w:p>
    <w:p w:rsidR="000949B5" w:rsidRPr="008C7D6F" w:rsidRDefault="001C56EC" w:rsidP="001C56EC">
      <w:pPr>
        <w:tabs>
          <w:tab w:val="right" w:leader="dot" w:pos="10204"/>
        </w:tabs>
        <w:spacing w:before="1320" w:after="0"/>
        <w:ind w:left="5670"/>
        <w:jc w:val="center"/>
        <w:rPr>
          <w:rFonts w:ascii="Times New Roman" w:hAnsi="Times New Roman"/>
          <w:sz w:val="20"/>
          <w:szCs w:val="24"/>
        </w:rPr>
      </w:pPr>
      <w:r>
        <w:rPr>
          <w:rFonts w:ascii="Times New Roman" w:hAnsi="Times New Roman"/>
          <w:sz w:val="20"/>
          <w:szCs w:val="24"/>
        </w:rPr>
        <w:tab/>
      </w:r>
    </w:p>
    <w:p w:rsidR="000949B5" w:rsidRPr="002E39E5" w:rsidRDefault="000949B5" w:rsidP="001C56EC">
      <w:pPr>
        <w:tabs>
          <w:tab w:val="center" w:pos="7938"/>
        </w:tabs>
        <w:ind w:left="5670"/>
        <w:jc w:val="center"/>
        <w:rPr>
          <w:rFonts w:ascii="Times New Roman" w:hAnsi="Times New Roman"/>
          <w:sz w:val="16"/>
          <w:szCs w:val="18"/>
        </w:rPr>
      </w:pPr>
      <w:r w:rsidRPr="002E39E5">
        <w:rPr>
          <w:rFonts w:ascii="Times New Roman" w:hAnsi="Times New Roman"/>
          <w:sz w:val="16"/>
          <w:szCs w:val="18"/>
        </w:rPr>
        <w:t>(podpis osoby uprawnionej</w:t>
      </w:r>
      <w:r w:rsidR="007A6F99" w:rsidRPr="002E39E5">
        <w:rPr>
          <w:rFonts w:ascii="Times New Roman" w:hAnsi="Times New Roman"/>
          <w:sz w:val="16"/>
          <w:szCs w:val="18"/>
        </w:rPr>
        <w:t xml:space="preserve"> do reprezentacji podmio</w:t>
      </w:r>
      <w:r w:rsidR="00ED2259" w:rsidRPr="002E39E5">
        <w:rPr>
          <w:rFonts w:ascii="Times New Roman" w:hAnsi="Times New Roman"/>
          <w:sz w:val="16"/>
          <w:szCs w:val="18"/>
        </w:rPr>
        <w:t>tu</w:t>
      </w:r>
      <w:r w:rsidR="00095460" w:rsidRPr="002E39E5">
        <w:rPr>
          <w:rFonts w:ascii="Times New Roman" w:hAnsi="Times New Roman"/>
          <w:sz w:val="16"/>
          <w:szCs w:val="18"/>
        </w:rPr>
        <w:t>/kontrahenta</w:t>
      </w:r>
      <w:r w:rsidR="00ED2259" w:rsidRPr="002E39E5">
        <w:rPr>
          <w:rFonts w:ascii="Times New Roman" w:hAnsi="Times New Roman"/>
          <w:sz w:val="16"/>
          <w:szCs w:val="18"/>
        </w:rPr>
        <w:t>)</w:t>
      </w:r>
    </w:p>
    <w:p w:rsidR="002E39E5" w:rsidRDefault="002E39E5" w:rsidP="00696B88">
      <w:pPr>
        <w:rPr>
          <w:rFonts w:ascii="Times New Roman" w:hAnsi="Times New Roman"/>
          <w:b/>
          <w:sz w:val="18"/>
          <w:szCs w:val="18"/>
        </w:rPr>
        <w:sectPr w:rsidR="002E39E5" w:rsidSect="002E39E5">
          <w:footerReference w:type="default" r:id="rId8"/>
          <w:pgSz w:w="11906" w:h="16838"/>
          <w:pgMar w:top="851" w:right="851" w:bottom="851" w:left="851" w:header="709" w:footer="709" w:gutter="0"/>
          <w:cols w:space="708"/>
          <w:docGrid w:linePitch="360"/>
        </w:sectPr>
      </w:pPr>
    </w:p>
    <w:p w:rsidR="00CC2A47" w:rsidRDefault="00CC2A47" w:rsidP="00696B88">
      <w:pPr>
        <w:rPr>
          <w:rFonts w:ascii="Times New Roman" w:hAnsi="Times New Roman"/>
          <w:b/>
          <w:sz w:val="18"/>
          <w:szCs w:val="18"/>
        </w:rPr>
      </w:pPr>
      <w:r>
        <w:rPr>
          <w:rFonts w:ascii="Times New Roman" w:hAnsi="Times New Roman"/>
          <w:b/>
          <w:sz w:val="18"/>
          <w:szCs w:val="18"/>
        </w:rPr>
        <w:lastRenderedPageBreak/>
        <w:t>Pouczenie: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3" w:type="dxa"/>
          <w:bottom w:w="113" w:type="dxa"/>
        </w:tblCellMar>
        <w:tblLook w:val="04A0" w:firstRow="1" w:lastRow="0" w:firstColumn="1" w:lastColumn="0" w:noHBand="0" w:noVBand="1"/>
      </w:tblPr>
      <w:tblGrid>
        <w:gridCol w:w="10194"/>
      </w:tblGrid>
      <w:tr w:rsidR="00CB77DE" w:rsidTr="008104AE">
        <w:trPr>
          <w:trHeight w:val="13280"/>
        </w:trPr>
        <w:tc>
          <w:tcPr>
            <w:tcW w:w="10194" w:type="dxa"/>
            <w:shd w:val="clear" w:color="auto" w:fill="F2F2F2" w:themeFill="background1" w:themeFillShade="F2"/>
          </w:tcPr>
          <w:p w:rsidR="00CB77DE" w:rsidRPr="00CC2A47" w:rsidRDefault="00CB77DE" w:rsidP="008104AE">
            <w:pPr>
              <w:spacing w:before="120" w:after="0" w:line="360" w:lineRule="auto"/>
              <w:jc w:val="center"/>
              <w:rPr>
                <w:rFonts w:ascii="Times New Roman" w:eastAsia="Times New Roman" w:hAnsi="Times New Roman"/>
                <w:b/>
                <w:i/>
                <w:iCs/>
                <w:color w:val="444444"/>
                <w:sz w:val="16"/>
                <w:szCs w:val="16"/>
                <w:lang w:eastAsia="pl-PL"/>
              </w:rPr>
            </w:pPr>
            <w:r w:rsidRPr="00CC2A47">
              <w:rPr>
                <w:rFonts w:ascii="Times New Roman" w:eastAsia="Times New Roman" w:hAnsi="Times New Roman"/>
                <w:b/>
                <w:i/>
                <w:iCs/>
                <w:color w:val="444444"/>
                <w:sz w:val="16"/>
                <w:szCs w:val="16"/>
                <w:lang w:eastAsia="pl-PL"/>
              </w:rPr>
              <w:t xml:space="preserve">Informacje szczegółowe  wg załącznika I do Rozporządzenia Komisji (UE) </w:t>
            </w:r>
            <w:r w:rsidRPr="00CC2A47">
              <w:rPr>
                <w:rFonts w:ascii="Times New Roman" w:eastAsia="Times New Roman" w:hAnsi="Times New Roman"/>
                <w:b/>
                <w:i/>
                <w:iCs/>
                <w:color w:val="444444"/>
                <w:sz w:val="16"/>
                <w:szCs w:val="16"/>
                <w:lang w:eastAsia="pl-PL"/>
              </w:rPr>
              <w:br/>
              <w:t>nr 702/2014 z dnia 25 czerwca 2014 r.  zawierającego definicje mikroprzedsiębiorstw oraz małych i średnich przedsiębiorstw.</w:t>
            </w:r>
          </w:p>
          <w:p w:rsidR="00CB77DE" w:rsidRPr="00CC2A47" w:rsidRDefault="00CB77DE" w:rsidP="00CB77DE">
            <w:pPr>
              <w:spacing w:before="360" w:after="240" w:line="360" w:lineRule="auto"/>
              <w:jc w:val="center"/>
              <w:rPr>
                <w:rFonts w:ascii="Times New Roman" w:eastAsia="Times New Roman" w:hAnsi="Times New Roman"/>
                <w:b/>
                <w:i/>
                <w:iCs/>
                <w:color w:val="444444"/>
                <w:sz w:val="16"/>
                <w:szCs w:val="16"/>
                <w:lang w:eastAsia="pl-PL"/>
              </w:rPr>
            </w:pPr>
            <w:r w:rsidRPr="00CC2A47">
              <w:rPr>
                <w:rFonts w:ascii="Times New Roman" w:eastAsia="Times New Roman" w:hAnsi="Times New Roman"/>
                <w:i/>
                <w:iCs/>
                <w:color w:val="444444"/>
                <w:sz w:val="16"/>
                <w:szCs w:val="16"/>
                <w:lang w:eastAsia="pl-PL"/>
              </w:rPr>
              <w:t>Artykuł 1</w:t>
            </w:r>
          </w:p>
          <w:p w:rsidR="00CB77DE" w:rsidRPr="00CC2A47" w:rsidRDefault="00CB77DE" w:rsidP="00CB77DE">
            <w:pPr>
              <w:spacing w:after="120" w:line="360" w:lineRule="auto"/>
              <w:jc w:val="center"/>
              <w:rPr>
                <w:rFonts w:ascii="Times New Roman" w:eastAsia="Times New Roman" w:hAnsi="Times New Roman"/>
                <w:b/>
                <w:iCs/>
                <w:color w:val="444444"/>
                <w:sz w:val="16"/>
                <w:szCs w:val="16"/>
                <w:lang w:eastAsia="pl-PL"/>
              </w:rPr>
            </w:pPr>
            <w:r w:rsidRPr="00CC2A47">
              <w:rPr>
                <w:rFonts w:ascii="Times New Roman" w:eastAsia="Times New Roman" w:hAnsi="Times New Roman"/>
                <w:b/>
                <w:iCs/>
                <w:color w:val="444444"/>
                <w:sz w:val="16"/>
                <w:szCs w:val="16"/>
                <w:lang w:eastAsia="pl-PL"/>
              </w:rPr>
              <w:t>Przedsiębiorstwo</w:t>
            </w:r>
          </w:p>
          <w:p w:rsidR="00CB77DE" w:rsidRPr="00CC2A47" w:rsidRDefault="00CB77DE" w:rsidP="00CB77DE">
            <w:pPr>
              <w:spacing w:after="0" w:line="360" w:lineRule="auto"/>
              <w:jc w:val="both"/>
              <w:rPr>
                <w:rFonts w:ascii="Times New Roman" w:eastAsia="Times New Roman" w:hAnsi="Times New Roman"/>
                <w:iCs/>
                <w:color w:val="444444"/>
                <w:sz w:val="16"/>
                <w:szCs w:val="16"/>
                <w:lang w:eastAsia="pl-PL"/>
              </w:rPr>
            </w:pPr>
            <w:r w:rsidRPr="00CC2A47">
              <w:rPr>
                <w:rFonts w:ascii="Times New Roman" w:eastAsia="Times New Roman" w:hAnsi="Times New Roman"/>
                <w:iCs/>
                <w:color w:val="444444"/>
                <w:sz w:val="16"/>
                <w:szCs w:val="16"/>
                <w:lang w:eastAsia="pl-PL"/>
              </w:rPr>
              <w:t>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w:t>
            </w:r>
          </w:p>
          <w:p w:rsidR="00CB77DE" w:rsidRPr="00CC2A47" w:rsidRDefault="00CB77DE" w:rsidP="00CB77DE">
            <w:pPr>
              <w:spacing w:before="360" w:after="240" w:line="360" w:lineRule="auto"/>
              <w:jc w:val="center"/>
              <w:rPr>
                <w:rFonts w:ascii="Times New Roman" w:eastAsia="Times New Roman" w:hAnsi="Times New Roman"/>
                <w:i/>
                <w:iCs/>
                <w:color w:val="444444"/>
                <w:sz w:val="16"/>
                <w:szCs w:val="16"/>
                <w:lang w:eastAsia="pl-PL"/>
              </w:rPr>
            </w:pPr>
            <w:r w:rsidRPr="00CC2A47">
              <w:rPr>
                <w:rFonts w:ascii="Times New Roman" w:eastAsia="Times New Roman" w:hAnsi="Times New Roman"/>
                <w:i/>
                <w:iCs/>
                <w:color w:val="444444"/>
                <w:sz w:val="16"/>
                <w:szCs w:val="16"/>
                <w:lang w:eastAsia="pl-PL"/>
              </w:rPr>
              <w:t>Artykuł 2</w:t>
            </w:r>
          </w:p>
          <w:p w:rsidR="00CB77DE" w:rsidRPr="00CC2A47" w:rsidRDefault="00CB77DE" w:rsidP="00CB77DE">
            <w:pPr>
              <w:spacing w:after="120" w:line="360" w:lineRule="auto"/>
              <w:jc w:val="center"/>
              <w:rPr>
                <w:rFonts w:ascii="Times New Roman" w:eastAsia="Times New Roman" w:hAnsi="Times New Roman"/>
                <w:b/>
                <w:iCs/>
                <w:color w:val="444444"/>
                <w:sz w:val="16"/>
                <w:szCs w:val="16"/>
                <w:lang w:eastAsia="pl-PL"/>
              </w:rPr>
            </w:pPr>
            <w:r w:rsidRPr="00CC2A47">
              <w:rPr>
                <w:rFonts w:ascii="Times New Roman" w:eastAsia="Times New Roman" w:hAnsi="Times New Roman"/>
                <w:b/>
                <w:iCs/>
                <w:color w:val="444444"/>
                <w:sz w:val="16"/>
                <w:szCs w:val="16"/>
                <w:lang w:eastAsia="pl-PL"/>
              </w:rPr>
              <w:t>Pułap zatrudnienia oraz pułapy finansowe określające kategorie przedsiębiorstw</w:t>
            </w:r>
          </w:p>
          <w:p w:rsidR="00CB77DE" w:rsidRPr="00CC2A47" w:rsidRDefault="00CB77DE" w:rsidP="00CB77DE">
            <w:pPr>
              <w:pStyle w:val="Akapitzlist"/>
              <w:numPr>
                <w:ilvl w:val="0"/>
                <w:numId w:val="11"/>
              </w:numPr>
              <w:tabs>
                <w:tab w:val="left" w:pos="426"/>
              </w:tabs>
              <w:spacing w:after="120" w:line="360" w:lineRule="auto"/>
              <w:ind w:left="426" w:hanging="426"/>
              <w:jc w:val="both"/>
              <w:rPr>
                <w:iCs/>
                <w:color w:val="444444"/>
                <w:sz w:val="16"/>
                <w:szCs w:val="16"/>
              </w:rPr>
            </w:pPr>
            <w:r w:rsidRPr="00CC2A47">
              <w:rPr>
                <w:iCs/>
                <w:color w:val="444444"/>
                <w:sz w:val="16"/>
                <w:szCs w:val="16"/>
              </w:rPr>
              <w:t>Do kategorii mikroprzedsiębiorstw oraz małych i średnich przedsiębiorstw ( MŚP) należą przedsiębiorstwa, które zatrudniają mniej niż 250 pracowników i których roczny obrót nie przekracza 50 mln EUR lub których całkowity bilans roczny nie przekracza 43 mln EUR.</w:t>
            </w:r>
          </w:p>
          <w:p w:rsidR="00CB77DE" w:rsidRDefault="00CB77DE" w:rsidP="00CB77DE">
            <w:pPr>
              <w:pStyle w:val="Akapitzlist"/>
              <w:numPr>
                <w:ilvl w:val="0"/>
                <w:numId w:val="11"/>
              </w:numPr>
              <w:tabs>
                <w:tab w:val="left" w:pos="426"/>
              </w:tabs>
              <w:spacing w:after="120" w:line="360" w:lineRule="auto"/>
              <w:ind w:left="426" w:hanging="426"/>
              <w:jc w:val="both"/>
              <w:rPr>
                <w:iCs/>
                <w:color w:val="444444"/>
                <w:sz w:val="16"/>
                <w:szCs w:val="16"/>
              </w:rPr>
            </w:pPr>
            <w:r w:rsidRPr="00CC2A47">
              <w:rPr>
                <w:iCs/>
                <w:color w:val="444444"/>
                <w:sz w:val="16"/>
                <w:szCs w:val="16"/>
              </w:rPr>
              <w:t>W kategorii MŚP małe przedsiębiorstwo definiuje się jako przedsiębiorstwo zatrudniające mniej niż 50 pracowników i którego roczny obrót lub całkowity bilans roczny nie przekracza 10 mln EUR.</w:t>
            </w:r>
          </w:p>
          <w:p w:rsidR="00CB77DE" w:rsidRPr="00104338" w:rsidRDefault="00CB77DE" w:rsidP="00CB77DE">
            <w:pPr>
              <w:pStyle w:val="Akapitzlist"/>
              <w:numPr>
                <w:ilvl w:val="0"/>
                <w:numId w:val="11"/>
              </w:numPr>
              <w:tabs>
                <w:tab w:val="left" w:pos="426"/>
              </w:tabs>
              <w:spacing w:after="120" w:line="360" w:lineRule="auto"/>
              <w:ind w:left="426" w:hanging="426"/>
              <w:jc w:val="both"/>
              <w:rPr>
                <w:iCs/>
                <w:color w:val="444444"/>
                <w:sz w:val="16"/>
                <w:szCs w:val="16"/>
              </w:rPr>
            </w:pPr>
            <w:r w:rsidRPr="00104338">
              <w:rPr>
                <w:iCs/>
                <w:color w:val="444444"/>
                <w:sz w:val="16"/>
                <w:szCs w:val="16"/>
              </w:rPr>
              <w:t>W ramach kategorii MŚP mikroprzedsiębiorstwo definiuje się jako przedsiębiorstwo zatrudniające mniej niż 10 pracowników i którego roczny obrót lub całkowity bilans roczny nie przekracza 2 mln EUR.</w:t>
            </w:r>
          </w:p>
          <w:p w:rsidR="00CB77DE" w:rsidRPr="00CC2A47" w:rsidRDefault="00CB77DE" w:rsidP="00CB77DE">
            <w:pPr>
              <w:spacing w:before="360" w:after="240" w:line="360" w:lineRule="auto"/>
              <w:jc w:val="center"/>
              <w:rPr>
                <w:rFonts w:ascii="Times New Roman" w:eastAsia="Times New Roman" w:hAnsi="Times New Roman"/>
                <w:i/>
                <w:iCs/>
                <w:color w:val="444444"/>
                <w:sz w:val="16"/>
                <w:szCs w:val="16"/>
                <w:lang w:eastAsia="pl-PL"/>
              </w:rPr>
            </w:pPr>
            <w:r w:rsidRPr="00CC2A47">
              <w:rPr>
                <w:rFonts w:ascii="Times New Roman" w:eastAsia="Times New Roman" w:hAnsi="Times New Roman"/>
                <w:i/>
                <w:iCs/>
                <w:color w:val="444444"/>
                <w:sz w:val="16"/>
                <w:szCs w:val="16"/>
                <w:lang w:eastAsia="pl-PL"/>
              </w:rPr>
              <w:t>Artykuł 3</w:t>
            </w:r>
          </w:p>
          <w:p w:rsidR="00CB77DE" w:rsidRPr="00CC2A47" w:rsidRDefault="00CB77DE" w:rsidP="00CB77DE">
            <w:pPr>
              <w:spacing w:after="120" w:line="360" w:lineRule="auto"/>
              <w:jc w:val="center"/>
              <w:rPr>
                <w:rFonts w:ascii="Times New Roman" w:eastAsia="Times New Roman" w:hAnsi="Times New Roman"/>
                <w:b/>
                <w:bCs/>
                <w:color w:val="444444"/>
                <w:sz w:val="16"/>
                <w:szCs w:val="16"/>
                <w:lang w:eastAsia="pl-PL"/>
              </w:rPr>
            </w:pPr>
            <w:r w:rsidRPr="00CC2A47">
              <w:rPr>
                <w:rFonts w:ascii="Times New Roman" w:eastAsia="Times New Roman" w:hAnsi="Times New Roman"/>
                <w:b/>
                <w:bCs/>
                <w:color w:val="444444"/>
                <w:sz w:val="16"/>
                <w:szCs w:val="16"/>
                <w:lang w:eastAsia="pl-PL"/>
              </w:rPr>
              <w:t>Rodzaje przedsiębiorstw brane pod uwagę przy obliczaniu pułapu zatrudnienia i pułapu finansowego</w:t>
            </w:r>
          </w:p>
          <w:p w:rsidR="00CB77DE" w:rsidRDefault="00CB77DE" w:rsidP="00CB77DE">
            <w:pPr>
              <w:pStyle w:val="Akapitzlist"/>
              <w:numPr>
                <w:ilvl w:val="0"/>
                <w:numId w:val="13"/>
              </w:numPr>
              <w:tabs>
                <w:tab w:val="left" w:pos="426"/>
              </w:tabs>
              <w:spacing w:after="120" w:line="360" w:lineRule="auto"/>
              <w:ind w:left="426" w:hanging="426"/>
              <w:jc w:val="both"/>
              <w:rPr>
                <w:color w:val="444444"/>
                <w:sz w:val="16"/>
                <w:szCs w:val="16"/>
              </w:rPr>
            </w:pPr>
            <w:r>
              <w:rPr>
                <w:color w:val="444444"/>
                <w:sz w:val="16"/>
                <w:szCs w:val="16"/>
              </w:rPr>
              <w:t>„</w:t>
            </w:r>
            <w:r w:rsidRPr="00D13ED9">
              <w:rPr>
                <w:color w:val="444444"/>
                <w:sz w:val="16"/>
                <w:szCs w:val="16"/>
              </w:rPr>
              <w:t>Przedsiębiorstwo samodzielne” oznacza każde przedsiębiorstwo, które nie jest zakwalifikowane jako przedsiębiorstwo partnerskie w rozumieniu ust. 2 ani jako przedsiębiorstwo powiązane w rozumieniu ust. 3.</w:t>
            </w:r>
          </w:p>
          <w:p w:rsidR="00CB77DE" w:rsidRDefault="00CB77DE" w:rsidP="00CB77DE">
            <w:pPr>
              <w:pStyle w:val="Akapitzlist"/>
              <w:numPr>
                <w:ilvl w:val="0"/>
                <w:numId w:val="13"/>
              </w:numPr>
              <w:tabs>
                <w:tab w:val="left" w:pos="426"/>
              </w:tabs>
              <w:spacing w:after="60" w:line="360" w:lineRule="auto"/>
              <w:ind w:left="426" w:hanging="426"/>
              <w:jc w:val="both"/>
              <w:rPr>
                <w:color w:val="444444"/>
                <w:sz w:val="16"/>
                <w:szCs w:val="16"/>
              </w:rPr>
            </w:pPr>
            <w:r w:rsidRPr="00104338">
              <w:rPr>
                <w:color w:val="444444"/>
                <w:sz w:val="16"/>
                <w:szCs w:val="16"/>
              </w:rPr>
              <w:t>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w:t>
            </w:r>
          </w:p>
          <w:p w:rsidR="00CB77DE" w:rsidRDefault="00CB77DE" w:rsidP="00CB77DE">
            <w:pPr>
              <w:pStyle w:val="Akapitzlist"/>
              <w:tabs>
                <w:tab w:val="left" w:pos="426"/>
              </w:tabs>
              <w:spacing w:after="60" w:line="360" w:lineRule="auto"/>
              <w:ind w:left="426"/>
              <w:jc w:val="both"/>
              <w:rPr>
                <w:color w:val="444444"/>
                <w:sz w:val="16"/>
                <w:szCs w:val="16"/>
              </w:rPr>
            </w:pPr>
            <w:r w:rsidRPr="00104338">
              <w:rPr>
                <w:color w:val="444444"/>
                <w:sz w:val="16"/>
                <w:szCs w:val="16"/>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CB77DE" w:rsidRDefault="00CB77DE" w:rsidP="00CB77DE">
            <w:pPr>
              <w:pStyle w:val="Akapitzlist"/>
              <w:numPr>
                <w:ilvl w:val="1"/>
                <w:numId w:val="13"/>
              </w:numPr>
              <w:tabs>
                <w:tab w:val="left" w:pos="709"/>
                <w:tab w:val="right" w:pos="10204"/>
              </w:tabs>
              <w:spacing w:after="60" w:line="360" w:lineRule="auto"/>
              <w:ind w:hanging="294"/>
              <w:jc w:val="both"/>
              <w:rPr>
                <w:color w:val="444444"/>
                <w:sz w:val="16"/>
                <w:szCs w:val="16"/>
              </w:rPr>
            </w:pPr>
            <w:r w:rsidRPr="00104338">
              <w:rPr>
                <w:color w:val="444444"/>
                <w:sz w:val="16"/>
                <w:szCs w:val="16"/>
              </w:rPr>
              <w:t xml:space="preserve">publiczne korporacje inwestycyjne, spółki venture </w:t>
            </w:r>
            <w:proofErr w:type="spellStart"/>
            <w:r w:rsidRPr="00104338">
              <w:rPr>
                <w:color w:val="444444"/>
                <w:sz w:val="16"/>
                <w:szCs w:val="16"/>
              </w:rPr>
              <w:t>capital</w:t>
            </w:r>
            <w:proofErr w:type="spellEnd"/>
            <w:r w:rsidRPr="00104338">
              <w:rPr>
                <w:color w:val="444444"/>
                <w:sz w:val="16"/>
                <w:szCs w:val="16"/>
              </w:rPr>
              <w:t xml:space="preserve">, osoby fizyczne lub grupy osób fizycznych prowadzące regularną działalność inwestycyjną w oparciu o venture </w:t>
            </w:r>
            <w:proofErr w:type="spellStart"/>
            <w:r w:rsidRPr="00104338">
              <w:rPr>
                <w:color w:val="444444"/>
                <w:sz w:val="16"/>
                <w:szCs w:val="16"/>
              </w:rPr>
              <w:t>capital</w:t>
            </w:r>
            <w:proofErr w:type="spellEnd"/>
            <w:r w:rsidRPr="00104338">
              <w:rPr>
                <w:color w:val="444444"/>
                <w:sz w:val="16"/>
                <w:szCs w:val="16"/>
              </w:rPr>
              <w:t>, które inwestują w firmy nienotowane na giełdzie (tzw. „anioły biznesu”), pod warunkiem że całkowita kwota inwestycji tych inwestorów w jedno przedsiębiorstwo nie przekroczy 1 250 000 EUR;</w:t>
            </w:r>
          </w:p>
          <w:p w:rsidR="00CB77DE" w:rsidRDefault="00CB77DE" w:rsidP="00CB77DE">
            <w:pPr>
              <w:pStyle w:val="Akapitzlist"/>
              <w:numPr>
                <w:ilvl w:val="1"/>
                <w:numId w:val="13"/>
              </w:numPr>
              <w:tabs>
                <w:tab w:val="left" w:pos="709"/>
                <w:tab w:val="right" w:pos="10204"/>
              </w:tabs>
              <w:spacing w:after="60" w:line="360" w:lineRule="auto"/>
              <w:ind w:hanging="294"/>
              <w:jc w:val="both"/>
              <w:rPr>
                <w:color w:val="444444"/>
                <w:sz w:val="16"/>
                <w:szCs w:val="16"/>
              </w:rPr>
            </w:pPr>
            <w:r w:rsidRPr="00104338">
              <w:rPr>
                <w:color w:val="444444"/>
                <w:sz w:val="16"/>
                <w:szCs w:val="16"/>
              </w:rPr>
              <w:t>uczelnie wyższe lub ośrodki badawcze nienastawione na zysk;</w:t>
            </w:r>
          </w:p>
          <w:p w:rsidR="00CB77DE" w:rsidRDefault="00CB77DE" w:rsidP="00CB77DE">
            <w:pPr>
              <w:pStyle w:val="Akapitzlist"/>
              <w:numPr>
                <w:ilvl w:val="1"/>
                <w:numId w:val="13"/>
              </w:numPr>
              <w:tabs>
                <w:tab w:val="left" w:pos="709"/>
                <w:tab w:val="right" w:pos="10204"/>
              </w:tabs>
              <w:spacing w:after="60" w:line="360" w:lineRule="auto"/>
              <w:ind w:hanging="294"/>
              <w:jc w:val="both"/>
              <w:rPr>
                <w:color w:val="444444"/>
                <w:sz w:val="16"/>
                <w:szCs w:val="16"/>
              </w:rPr>
            </w:pPr>
            <w:r w:rsidRPr="00104338">
              <w:rPr>
                <w:color w:val="444444"/>
                <w:sz w:val="16"/>
                <w:szCs w:val="16"/>
              </w:rPr>
              <w:t>inwestorzy instytucjonalni, w tym regionalne fundusze rozwoju;</w:t>
            </w:r>
          </w:p>
          <w:p w:rsidR="00CB77DE" w:rsidRPr="00104338" w:rsidRDefault="00CB77DE" w:rsidP="00CB77DE">
            <w:pPr>
              <w:pStyle w:val="Akapitzlist"/>
              <w:numPr>
                <w:ilvl w:val="1"/>
                <w:numId w:val="13"/>
              </w:numPr>
              <w:tabs>
                <w:tab w:val="left" w:pos="709"/>
                <w:tab w:val="right" w:pos="10204"/>
              </w:tabs>
              <w:spacing w:after="120" w:line="360" w:lineRule="auto"/>
              <w:ind w:hanging="294"/>
              <w:jc w:val="both"/>
              <w:rPr>
                <w:color w:val="444444"/>
                <w:sz w:val="16"/>
                <w:szCs w:val="16"/>
              </w:rPr>
            </w:pPr>
            <w:r w:rsidRPr="00104338">
              <w:rPr>
                <w:color w:val="444444"/>
                <w:sz w:val="16"/>
                <w:szCs w:val="16"/>
              </w:rPr>
              <w:t>samorządy lokalne z rocznym budżetem poniżej 10 mln EUR oraz liczbą mieszkańców poniżej 5 000.</w:t>
            </w:r>
          </w:p>
          <w:p w:rsidR="00CB77DE" w:rsidRDefault="00CB77DE" w:rsidP="00CB77DE">
            <w:pPr>
              <w:pStyle w:val="Akapitzlist"/>
              <w:numPr>
                <w:ilvl w:val="0"/>
                <w:numId w:val="13"/>
              </w:numPr>
              <w:tabs>
                <w:tab w:val="left" w:pos="426"/>
              </w:tabs>
              <w:spacing w:after="60" w:line="360" w:lineRule="auto"/>
              <w:ind w:left="426" w:hanging="426"/>
              <w:jc w:val="both"/>
              <w:rPr>
                <w:color w:val="444444"/>
                <w:sz w:val="16"/>
                <w:szCs w:val="16"/>
              </w:rPr>
            </w:pPr>
            <w:r w:rsidRPr="00104338">
              <w:rPr>
                <w:color w:val="444444"/>
                <w:sz w:val="16"/>
                <w:szCs w:val="16"/>
              </w:rPr>
              <w:t>„Przedsiębiorstwa powiązane” oznaczają przedsiębiorstwa, które pozostają w jednym z poniższych związków:</w:t>
            </w:r>
          </w:p>
          <w:p w:rsidR="00CB77DE" w:rsidRDefault="00CB77DE" w:rsidP="00CB77DE">
            <w:pPr>
              <w:pStyle w:val="Akapitzlist"/>
              <w:numPr>
                <w:ilvl w:val="1"/>
                <w:numId w:val="13"/>
              </w:numPr>
              <w:tabs>
                <w:tab w:val="left" w:pos="709"/>
              </w:tabs>
              <w:spacing w:after="60" w:line="360" w:lineRule="auto"/>
              <w:ind w:left="709" w:hanging="283"/>
              <w:jc w:val="both"/>
              <w:rPr>
                <w:color w:val="444444"/>
                <w:sz w:val="16"/>
                <w:szCs w:val="16"/>
              </w:rPr>
            </w:pPr>
            <w:r w:rsidRPr="00104338">
              <w:rPr>
                <w:color w:val="444444"/>
                <w:sz w:val="16"/>
                <w:szCs w:val="16"/>
              </w:rPr>
              <w:t>przedsiębiorstwo posiada większość praw głosu w innym przedsiębiorstwie z tytułu roli udziałowca lub członka;</w:t>
            </w:r>
          </w:p>
          <w:p w:rsidR="00CB77DE" w:rsidRDefault="00CB77DE" w:rsidP="008104AE">
            <w:pPr>
              <w:pStyle w:val="Akapitzlist"/>
              <w:numPr>
                <w:ilvl w:val="1"/>
                <w:numId w:val="13"/>
              </w:numPr>
              <w:tabs>
                <w:tab w:val="left" w:pos="709"/>
              </w:tabs>
              <w:spacing w:after="60" w:line="360" w:lineRule="auto"/>
              <w:ind w:left="709" w:hanging="283"/>
              <w:jc w:val="both"/>
              <w:rPr>
                <w:color w:val="444444"/>
                <w:sz w:val="16"/>
                <w:szCs w:val="16"/>
              </w:rPr>
            </w:pPr>
            <w:r w:rsidRPr="00104338">
              <w:rPr>
                <w:color w:val="444444"/>
                <w:sz w:val="16"/>
                <w:szCs w:val="16"/>
              </w:rPr>
              <w:t>przedsiębiorstwo ma prawo wyznaczyć lub odwołać większość członków organu administracyjnego, zarządzającego lub nadzorczego innego przedsiębiorstwa;</w:t>
            </w:r>
          </w:p>
          <w:p w:rsidR="00CB77DE" w:rsidRDefault="00CB77DE" w:rsidP="008104AE">
            <w:pPr>
              <w:pStyle w:val="Akapitzlist"/>
              <w:numPr>
                <w:ilvl w:val="1"/>
                <w:numId w:val="13"/>
              </w:numPr>
              <w:tabs>
                <w:tab w:val="left" w:pos="709"/>
              </w:tabs>
              <w:spacing w:after="60" w:line="360" w:lineRule="auto"/>
              <w:ind w:left="709" w:hanging="283"/>
              <w:jc w:val="both"/>
              <w:rPr>
                <w:color w:val="444444"/>
                <w:sz w:val="16"/>
                <w:szCs w:val="16"/>
              </w:rPr>
            </w:pPr>
            <w:r w:rsidRPr="00104338">
              <w:rPr>
                <w:color w:val="444444"/>
                <w:sz w:val="16"/>
                <w:szCs w:val="16"/>
              </w:rPr>
              <w:t>przedsiębiorstwo ma prawo wywierać dominujący wpływ na inne przedsiębiorstwo zgodnie z umową zawartą z tym przedsiębiorstwem lub</w:t>
            </w:r>
            <w:r>
              <w:rPr>
                <w:color w:val="444444"/>
                <w:sz w:val="16"/>
                <w:szCs w:val="16"/>
              </w:rPr>
              <w:t> </w:t>
            </w:r>
            <w:r w:rsidRPr="00104338">
              <w:rPr>
                <w:color w:val="444444"/>
                <w:sz w:val="16"/>
                <w:szCs w:val="16"/>
              </w:rPr>
              <w:t>postanowieniami w jego statucie lub umowie spółki;</w:t>
            </w:r>
          </w:p>
          <w:p w:rsidR="00CB77DE" w:rsidRDefault="00CB77DE" w:rsidP="008104AE">
            <w:pPr>
              <w:pStyle w:val="Akapitzlist"/>
              <w:numPr>
                <w:ilvl w:val="1"/>
                <w:numId w:val="13"/>
              </w:numPr>
              <w:tabs>
                <w:tab w:val="left" w:pos="709"/>
              </w:tabs>
              <w:spacing w:after="60" w:line="360" w:lineRule="auto"/>
              <w:ind w:left="709" w:hanging="283"/>
              <w:jc w:val="both"/>
              <w:rPr>
                <w:color w:val="444444"/>
                <w:sz w:val="16"/>
                <w:szCs w:val="16"/>
              </w:rPr>
            </w:pPr>
            <w:r w:rsidRPr="00104338">
              <w:rPr>
                <w:color w:val="444444"/>
                <w:sz w:val="16"/>
                <w:szCs w:val="16"/>
              </w:rPr>
              <w:lastRenderedPageBreak/>
              <w:t>przedsiębiorstwo będące udziałowcem lub członkiem innego przedsiębiorstwa kontroluje samodzielnie, zgodnie z umową z innymi udziałowcami lub członkami tego przedsiębiorstwa, większość praw głosu udziałowców lub członków w tym przedsiębiorstwie.</w:t>
            </w:r>
          </w:p>
          <w:p w:rsidR="00CB77DE" w:rsidRDefault="00CB77DE" w:rsidP="008104AE">
            <w:pPr>
              <w:pStyle w:val="Akapitzlist"/>
              <w:spacing w:after="60" w:line="360" w:lineRule="auto"/>
              <w:ind w:left="425"/>
              <w:jc w:val="both"/>
              <w:rPr>
                <w:color w:val="444444"/>
                <w:sz w:val="16"/>
                <w:szCs w:val="16"/>
              </w:rPr>
            </w:pPr>
            <w:r w:rsidRPr="00104338">
              <w:rPr>
                <w:color w:val="444444"/>
                <w:sz w:val="16"/>
                <w:szCs w:val="16"/>
              </w:rPr>
              <w:t>Zakłada się, że nie ma dominującego wpływu, jeżeli inwestorzy wymienieni w ust. 2 akapit drugi nie angażują s</w:t>
            </w:r>
            <w:r>
              <w:rPr>
                <w:color w:val="444444"/>
                <w:sz w:val="16"/>
                <w:szCs w:val="16"/>
              </w:rPr>
              <w:t>ię bezpośrednio lub pośrednio w </w:t>
            </w:r>
            <w:r w:rsidRPr="00104338">
              <w:rPr>
                <w:color w:val="444444"/>
                <w:sz w:val="16"/>
                <w:szCs w:val="16"/>
              </w:rPr>
              <w:t>zarządzanie danym przedsiębiorstwem, bez uszczerbku dla ich praw jako udziałowców.</w:t>
            </w:r>
          </w:p>
          <w:p w:rsidR="00CB77DE" w:rsidRDefault="00CB77DE" w:rsidP="008104AE">
            <w:pPr>
              <w:pStyle w:val="Akapitzlist"/>
              <w:spacing w:after="60" w:line="360" w:lineRule="auto"/>
              <w:ind w:left="425"/>
              <w:jc w:val="both"/>
              <w:rPr>
                <w:color w:val="444444"/>
                <w:sz w:val="16"/>
                <w:szCs w:val="16"/>
              </w:rPr>
            </w:pPr>
            <w:r w:rsidRPr="00104338">
              <w:rPr>
                <w:color w:val="444444"/>
                <w:sz w:val="16"/>
                <w:szCs w:val="16"/>
              </w:rPr>
              <w:t>Przedsiębiorstwa, które pozostają w jednym ze związków opisanych w akapicie pierwszym z co najmniej jednym przedsiębiorstwem lub dowolnym z inwestorów wymienionych w ust. 2, również uznaje się za powiązane.</w:t>
            </w:r>
          </w:p>
          <w:p w:rsidR="00CB77DE" w:rsidRDefault="00CB77DE" w:rsidP="008104AE">
            <w:pPr>
              <w:pStyle w:val="Akapitzlist"/>
              <w:spacing w:after="60" w:line="360" w:lineRule="auto"/>
              <w:ind w:left="425"/>
              <w:jc w:val="both"/>
              <w:rPr>
                <w:color w:val="444444"/>
                <w:sz w:val="16"/>
                <w:szCs w:val="16"/>
              </w:rPr>
            </w:pPr>
            <w:r w:rsidRPr="00104338">
              <w:rPr>
                <w:color w:val="444444"/>
                <w:sz w:val="16"/>
                <w:szCs w:val="16"/>
              </w:rPr>
              <w:t>Przedsiębiorstwa pozostające w jednym z takich związków z osobą fizyczną lub grupą osób fizycznych działających wspólnie również uznaje się za</w:t>
            </w:r>
            <w:r>
              <w:rPr>
                <w:color w:val="444444"/>
                <w:sz w:val="16"/>
                <w:szCs w:val="16"/>
              </w:rPr>
              <w:t> </w:t>
            </w:r>
            <w:r w:rsidRPr="00104338">
              <w:rPr>
                <w:color w:val="444444"/>
                <w:sz w:val="16"/>
                <w:szCs w:val="16"/>
              </w:rPr>
              <w:t>przedsiębiorstwa powiązane, jeżeli prowadzą swoją działalność lub część działalności na tym samym właściwym rynku lub rynkach pokrewnych.</w:t>
            </w:r>
          </w:p>
          <w:p w:rsidR="00CB77DE" w:rsidRDefault="00CB77DE" w:rsidP="00CB77DE">
            <w:pPr>
              <w:pStyle w:val="Akapitzlist"/>
              <w:spacing w:after="120" w:line="360" w:lineRule="auto"/>
              <w:ind w:left="425"/>
              <w:jc w:val="both"/>
              <w:rPr>
                <w:color w:val="444444"/>
                <w:sz w:val="16"/>
                <w:szCs w:val="16"/>
              </w:rPr>
            </w:pPr>
            <w:r w:rsidRPr="00104338">
              <w:rPr>
                <w:color w:val="444444"/>
                <w:sz w:val="16"/>
                <w:szCs w:val="16"/>
              </w:rPr>
              <w:t>Za „rynek pokrewny” uważa się rynek dla danego produktu lub usługi znajdujący się bezpośrednio na rynku wyższego lub niższego szczebla w</w:t>
            </w:r>
            <w:r>
              <w:rPr>
                <w:color w:val="444444"/>
                <w:sz w:val="16"/>
                <w:szCs w:val="16"/>
              </w:rPr>
              <w:t> </w:t>
            </w:r>
            <w:r w:rsidRPr="00104338">
              <w:rPr>
                <w:color w:val="444444"/>
                <w:sz w:val="16"/>
                <w:szCs w:val="16"/>
              </w:rPr>
              <w:t>stosunku do właściwego rynku.</w:t>
            </w:r>
          </w:p>
          <w:p w:rsidR="00CB77DE" w:rsidRDefault="00CB77DE" w:rsidP="00CB77DE">
            <w:pPr>
              <w:pStyle w:val="Akapitzlist"/>
              <w:numPr>
                <w:ilvl w:val="0"/>
                <w:numId w:val="13"/>
              </w:numPr>
              <w:tabs>
                <w:tab w:val="left" w:pos="426"/>
              </w:tabs>
              <w:spacing w:after="120" w:line="360" w:lineRule="auto"/>
              <w:ind w:left="426" w:hanging="426"/>
              <w:jc w:val="both"/>
              <w:rPr>
                <w:color w:val="444444"/>
                <w:sz w:val="16"/>
                <w:szCs w:val="16"/>
              </w:rPr>
            </w:pPr>
            <w:r w:rsidRPr="00104338">
              <w:rPr>
                <w:color w:val="444444"/>
                <w:sz w:val="16"/>
                <w:szCs w:val="16"/>
              </w:rPr>
              <w:t>Poza przypadkami określonymi w ust. 2 akapit drugi przedsiębiorstwa nie można uznać za MŚP, jeżeli 25 % lub więcej kapitału lub praw głosu kontroluje bezpośrednio lub pośrednio, wspólnie lub indywidualnie, co najmniej jeden organ państwowy.</w:t>
            </w:r>
          </w:p>
          <w:p w:rsidR="00CB77DE" w:rsidRPr="00104338" w:rsidRDefault="00CB77DE" w:rsidP="00CB77DE">
            <w:pPr>
              <w:pStyle w:val="Akapitzlist"/>
              <w:numPr>
                <w:ilvl w:val="0"/>
                <w:numId w:val="13"/>
              </w:numPr>
              <w:tabs>
                <w:tab w:val="left" w:pos="426"/>
              </w:tabs>
              <w:spacing w:after="120" w:line="360" w:lineRule="auto"/>
              <w:ind w:left="426" w:hanging="426"/>
              <w:jc w:val="both"/>
              <w:rPr>
                <w:color w:val="444444"/>
                <w:sz w:val="16"/>
                <w:szCs w:val="16"/>
              </w:rPr>
            </w:pPr>
            <w:r w:rsidRPr="00104338">
              <w:rPr>
                <w:color w:val="444444"/>
                <w:sz w:val="16"/>
                <w:szCs w:val="16"/>
              </w:rPr>
              <w:t>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w:t>
            </w:r>
            <w:r>
              <w:rPr>
                <w:color w:val="444444"/>
                <w:sz w:val="16"/>
                <w:szCs w:val="16"/>
              </w:rPr>
              <w:t> </w:t>
            </w:r>
            <w:r w:rsidRPr="00104338">
              <w:rPr>
                <w:color w:val="444444"/>
                <w:sz w:val="16"/>
                <w:szCs w:val="16"/>
              </w:rPr>
              <w:t>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rsidR="00CB77DE" w:rsidRPr="00CC2A47" w:rsidRDefault="00CB77DE" w:rsidP="00CB77DE">
            <w:pPr>
              <w:spacing w:before="360" w:after="240" w:line="360" w:lineRule="auto"/>
              <w:jc w:val="center"/>
              <w:rPr>
                <w:rFonts w:ascii="Times New Roman" w:eastAsia="Times New Roman" w:hAnsi="Times New Roman"/>
                <w:i/>
                <w:iCs/>
                <w:color w:val="444444"/>
                <w:sz w:val="16"/>
                <w:szCs w:val="16"/>
                <w:lang w:eastAsia="pl-PL"/>
              </w:rPr>
            </w:pPr>
            <w:r w:rsidRPr="00CC2A47">
              <w:rPr>
                <w:rFonts w:ascii="Times New Roman" w:eastAsia="Times New Roman" w:hAnsi="Times New Roman"/>
                <w:i/>
                <w:iCs/>
                <w:color w:val="444444"/>
                <w:sz w:val="16"/>
                <w:szCs w:val="16"/>
                <w:lang w:eastAsia="pl-PL"/>
              </w:rPr>
              <w:t>Artykuł 4</w:t>
            </w:r>
          </w:p>
          <w:p w:rsidR="00CB77DE" w:rsidRPr="00CC2A47" w:rsidRDefault="00CB77DE" w:rsidP="00CB77DE">
            <w:pPr>
              <w:spacing w:after="120" w:line="360" w:lineRule="auto"/>
              <w:jc w:val="center"/>
              <w:rPr>
                <w:rFonts w:ascii="Times New Roman" w:eastAsia="Times New Roman" w:hAnsi="Times New Roman"/>
                <w:b/>
                <w:bCs/>
                <w:color w:val="444444"/>
                <w:sz w:val="16"/>
                <w:szCs w:val="16"/>
                <w:lang w:eastAsia="pl-PL"/>
              </w:rPr>
            </w:pPr>
            <w:r w:rsidRPr="00CC2A47">
              <w:rPr>
                <w:rFonts w:ascii="Times New Roman" w:eastAsia="Times New Roman" w:hAnsi="Times New Roman"/>
                <w:b/>
                <w:bCs/>
                <w:color w:val="444444"/>
                <w:sz w:val="16"/>
                <w:szCs w:val="16"/>
                <w:lang w:eastAsia="pl-PL"/>
              </w:rPr>
              <w:t>Dane wykorzystywane do określania pułapu zatrudnienia i pułapu finansowego oraz okres odniesienia</w:t>
            </w:r>
          </w:p>
          <w:p w:rsidR="00CB77DE" w:rsidRDefault="00CB77DE" w:rsidP="00CB77DE">
            <w:pPr>
              <w:pStyle w:val="Akapitzlist"/>
              <w:numPr>
                <w:ilvl w:val="0"/>
                <w:numId w:val="15"/>
              </w:numPr>
              <w:tabs>
                <w:tab w:val="left" w:pos="426"/>
              </w:tabs>
              <w:spacing w:after="120" w:line="360" w:lineRule="auto"/>
              <w:ind w:left="426" w:hanging="426"/>
              <w:jc w:val="both"/>
              <w:rPr>
                <w:color w:val="444444"/>
                <w:sz w:val="16"/>
                <w:szCs w:val="16"/>
              </w:rPr>
            </w:pPr>
            <w:r w:rsidRPr="00104338">
              <w:rPr>
                <w:color w:val="444444"/>
                <w:sz w:val="16"/>
                <w:szCs w:val="16"/>
              </w:rPr>
              <w:t>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w:t>
            </w:r>
            <w:r>
              <w:rPr>
                <w:color w:val="444444"/>
                <w:sz w:val="16"/>
                <w:szCs w:val="16"/>
              </w:rPr>
              <w:t> </w:t>
            </w:r>
            <w:r w:rsidRPr="00104338">
              <w:rPr>
                <w:color w:val="444444"/>
                <w:sz w:val="16"/>
                <w:szCs w:val="16"/>
              </w:rPr>
              <w:t>pominięciem podatku od wartości dodanej (VAT) i innych podatków pośrednich.</w:t>
            </w:r>
          </w:p>
          <w:p w:rsidR="00CB77DE" w:rsidRDefault="00CB77DE" w:rsidP="00CB77DE">
            <w:pPr>
              <w:pStyle w:val="Akapitzlist"/>
              <w:numPr>
                <w:ilvl w:val="0"/>
                <w:numId w:val="15"/>
              </w:numPr>
              <w:tabs>
                <w:tab w:val="left" w:pos="426"/>
              </w:tabs>
              <w:spacing w:after="120" w:line="360" w:lineRule="auto"/>
              <w:ind w:left="426" w:hanging="426"/>
              <w:jc w:val="both"/>
              <w:rPr>
                <w:color w:val="444444"/>
                <w:sz w:val="16"/>
                <w:szCs w:val="16"/>
              </w:rPr>
            </w:pPr>
            <w:r w:rsidRPr="00104338">
              <w:rPr>
                <w:color w:val="444444"/>
                <w:sz w:val="16"/>
                <w:szCs w:val="16"/>
              </w:rPr>
              <w:t>W przypadku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w:t>
            </w:r>
          </w:p>
          <w:p w:rsidR="00CB77DE" w:rsidRPr="00104338" w:rsidRDefault="00CB77DE" w:rsidP="00CB77DE">
            <w:pPr>
              <w:pStyle w:val="Akapitzlist"/>
              <w:numPr>
                <w:ilvl w:val="0"/>
                <w:numId w:val="15"/>
              </w:numPr>
              <w:tabs>
                <w:tab w:val="left" w:pos="426"/>
              </w:tabs>
              <w:spacing w:line="360" w:lineRule="auto"/>
              <w:ind w:left="426" w:hanging="426"/>
              <w:jc w:val="both"/>
              <w:rPr>
                <w:color w:val="444444"/>
                <w:sz w:val="16"/>
                <w:szCs w:val="16"/>
              </w:rPr>
            </w:pPr>
            <w:r w:rsidRPr="00104338">
              <w:rPr>
                <w:color w:val="444444"/>
                <w:sz w:val="16"/>
                <w:szCs w:val="16"/>
              </w:rPr>
              <w:t>W przypadku nowo utworzonych przedsiębiorstw, których księgi rachunkowe jeszcze nie zostały zatwierdzone, dane należy czerpać ze sporządzonych w dobrej wierze szacunków przeprowadzonych w trakcie roku obrotowego.</w:t>
            </w:r>
          </w:p>
          <w:p w:rsidR="00CB77DE" w:rsidRPr="00CC2A47" w:rsidRDefault="00CB77DE" w:rsidP="00CB77DE">
            <w:pPr>
              <w:spacing w:before="360" w:after="240" w:line="360" w:lineRule="auto"/>
              <w:jc w:val="center"/>
              <w:rPr>
                <w:rFonts w:ascii="Times New Roman" w:eastAsia="Times New Roman" w:hAnsi="Times New Roman"/>
                <w:i/>
                <w:iCs/>
                <w:color w:val="444444"/>
                <w:sz w:val="16"/>
                <w:szCs w:val="16"/>
                <w:lang w:eastAsia="pl-PL"/>
              </w:rPr>
            </w:pPr>
            <w:r w:rsidRPr="00CC2A47">
              <w:rPr>
                <w:rFonts w:ascii="Times New Roman" w:eastAsia="Times New Roman" w:hAnsi="Times New Roman"/>
                <w:i/>
                <w:iCs/>
                <w:color w:val="444444"/>
                <w:sz w:val="16"/>
                <w:szCs w:val="16"/>
                <w:lang w:eastAsia="pl-PL"/>
              </w:rPr>
              <w:t>Artykuł 5</w:t>
            </w:r>
          </w:p>
          <w:p w:rsidR="00CB77DE" w:rsidRPr="00CC2A47" w:rsidRDefault="00CB77DE" w:rsidP="00CB77DE">
            <w:pPr>
              <w:spacing w:after="120" w:line="360" w:lineRule="auto"/>
              <w:jc w:val="center"/>
              <w:rPr>
                <w:rFonts w:ascii="Times New Roman" w:eastAsia="Times New Roman" w:hAnsi="Times New Roman"/>
                <w:b/>
                <w:bCs/>
                <w:color w:val="444444"/>
                <w:sz w:val="16"/>
                <w:szCs w:val="16"/>
                <w:lang w:eastAsia="pl-PL"/>
              </w:rPr>
            </w:pPr>
            <w:r w:rsidRPr="00CC2A47">
              <w:rPr>
                <w:rFonts w:ascii="Times New Roman" w:eastAsia="Times New Roman" w:hAnsi="Times New Roman"/>
                <w:b/>
                <w:bCs/>
                <w:color w:val="444444"/>
                <w:sz w:val="16"/>
                <w:szCs w:val="16"/>
                <w:lang w:eastAsia="pl-PL"/>
              </w:rPr>
              <w:t>Pułap zatrudnienia</w:t>
            </w:r>
          </w:p>
          <w:p w:rsidR="00CB77DE" w:rsidRDefault="00CB77DE" w:rsidP="008104AE">
            <w:pPr>
              <w:spacing w:after="60" w:line="360" w:lineRule="auto"/>
              <w:jc w:val="both"/>
              <w:rPr>
                <w:rFonts w:ascii="Times New Roman" w:eastAsia="Times New Roman" w:hAnsi="Times New Roman"/>
                <w:color w:val="444444"/>
                <w:sz w:val="16"/>
                <w:szCs w:val="16"/>
                <w:lang w:eastAsia="pl-PL"/>
              </w:rPr>
            </w:pPr>
            <w:r w:rsidRPr="00CC2A47">
              <w:rPr>
                <w:rFonts w:ascii="Times New Roman" w:eastAsia="Times New Roman" w:hAnsi="Times New Roman"/>
                <w:color w:val="444444"/>
                <w:sz w:val="16"/>
                <w:szCs w:val="16"/>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t>
            </w:r>
            <w:r w:rsidRPr="00CB77DE">
              <w:rPr>
                <w:rFonts w:ascii="Times New Roman" w:eastAsia="Times New Roman" w:hAnsi="Times New Roman"/>
                <w:color w:val="444444"/>
                <w:sz w:val="16"/>
                <w:szCs w:val="16"/>
                <w:lang w:eastAsia="pl-PL"/>
              </w:rPr>
              <w:t>W skład personelu wchodzą:</w:t>
            </w:r>
          </w:p>
          <w:p w:rsidR="00CB77DE" w:rsidRPr="005F0F11" w:rsidRDefault="00CB77DE" w:rsidP="008104AE">
            <w:pPr>
              <w:pStyle w:val="Akapitzlist"/>
              <w:numPr>
                <w:ilvl w:val="0"/>
                <w:numId w:val="18"/>
              </w:numPr>
              <w:tabs>
                <w:tab w:val="left" w:pos="284"/>
              </w:tabs>
              <w:spacing w:after="60" w:line="360" w:lineRule="auto"/>
              <w:ind w:left="284" w:hanging="284"/>
              <w:jc w:val="both"/>
              <w:rPr>
                <w:color w:val="444444"/>
                <w:sz w:val="16"/>
                <w:szCs w:val="16"/>
                <w:lang w:val="en"/>
              </w:rPr>
            </w:pPr>
            <w:r w:rsidRPr="005F0F11">
              <w:rPr>
                <w:color w:val="444444"/>
                <w:sz w:val="16"/>
                <w:szCs w:val="16"/>
              </w:rPr>
              <w:t>pracownicy;</w:t>
            </w:r>
          </w:p>
          <w:p w:rsidR="00CB77DE" w:rsidRPr="001C56EC" w:rsidRDefault="00CB77DE" w:rsidP="008104AE">
            <w:pPr>
              <w:pStyle w:val="Akapitzlist"/>
              <w:numPr>
                <w:ilvl w:val="0"/>
                <w:numId w:val="18"/>
              </w:numPr>
              <w:tabs>
                <w:tab w:val="left" w:pos="284"/>
              </w:tabs>
              <w:spacing w:after="60" w:line="360" w:lineRule="auto"/>
              <w:ind w:left="284" w:hanging="284"/>
              <w:jc w:val="both"/>
              <w:rPr>
                <w:color w:val="444444"/>
                <w:sz w:val="16"/>
                <w:szCs w:val="16"/>
              </w:rPr>
            </w:pPr>
            <w:r w:rsidRPr="005F0F11">
              <w:rPr>
                <w:color w:val="444444"/>
                <w:sz w:val="16"/>
                <w:szCs w:val="16"/>
              </w:rPr>
              <w:t>osoby pracujące dla przedsiębiorstwa, podlegające mu i uważane za pracowników na mocy prawa krajowego;</w:t>
            </w:r>
          </w:p>
          <w:p w:rsidR="00CB77DE" w:rsidRPr="005F0F11" w:rsidRDefault="00CB77DE" w:rsidP="008104AE">
            <w:pPr>
              <w:pStyle w:val="Akapitzlist"/>
              <w:numPr>
                <w:ilvl w:val="0"/>
                <w:numId w:val="18"/>
              </w:numPr>
              <w:tabs>
                <w:tab w:val="left" w:pos="284"/>
              </w:tabs>
              <w:spacing w:after="60" w:line="360" w:lineRule="auto"/>
              <w:ind w:left="284" w:hanging="284"/>
              <w:jc w:val="both"/>
              <w:rPr>
                <w:color w:val="444444"/>
                <w:sz w:val="16"/>
                <w:szCs w:val="16"/>
                <w:lang w:val="en"/>
              </w:rPr>
            </w:pPr>
            <w:r w:rsidRPr="005F0F11">
              <w:rPr>
                <w:color w:val="444444"/>
                <w:sz w:val="16"/>
                <w:szCs w:val="16"/>
              </w:rPr>
              <w:t>właściciele-kierownicy;</w:t>
            </w:r>
          </w:p>
          <w:p w:rsidR="00CB77DE" w:rsidRPr="001C56EC" w:rsidRDefault="00CB77DE" w:rsidP="008104AE">
            <w:pPr>
              <w:pStyle w:val="Akapitzlist"/>
              <w:numPr>
                <w:ilvl w:val="0"/>
                <w:numId w:val="18"/>
              </w:numPr>
              <w:tabs>
                <w:tab w:val="left" w:pos="284"/>
              </w:tabs>
              <w:spacing w:after="60" w:line="360" w:lineRule="auto"/>
              <w:ind w:left="284" w:hanging="284"/>
              <w:jc w:val="both"/>
              <w:rPr>
                <w:color w:val="444444"/>
                <w:sz w:val="16"/>
                <w:szCs w:val="16"/>
              </w:rPr>
            </w:pPr>
            <w:r w:rsidRPr="005F0F11">
              <w:rPr>
                <w:color w:val="444444"/>
                <w:sz w:val="16"/>
                <w:szCs w:val="16"/>
              </w:rPr>
              <w:t>partnerzy prowadzący regularną działalność w przedsiębiorstwie i czerpiący z niego korzyści finansowe.</w:t>
            </w:r>
          </w:p>
          <w:p w:rsidR="00CB77DE" w:rsidRPr="00CB77DE" w:rsidRDefault="00CB77DE" w:rsidP="008104AE">
            <w:pPr>
              <w:tabs>
                <w:tab w:val="left" w:pos="284"/>
              </w:tabs>
              <w:spacing w:after="120" w:line="360" w:lineRule="auto"/>
              <w:jc w:val="both"/>
              <w:rPr>
                <w:rFonts w:ascii="Times New Roman" w:hAnsi="Times New Roman"/>
                <w:color w:val="444444"/>
                <w:sz w:val="16"/>
                <w:szCs w:val="16"/>
              </w:rPr>
            </w:pPr>
            <w:r w:rsidRPr="005F0F11">
              <w:rPr>
                <w:color w:val="444444"/>
                <w:sz w:val="16"/>
                <w:szCs w:val="16"/>
              </w:rPr>
              <w:t>Praktykanci lub studenci odbywający szkolenia zawodowe na podstawie umowy o praktykę lub szkoleniu zawodowym nie wchodzą w skład personelu. Nie wlicza się okresu trwania urlopu macierzyńskiego ani wychowawczego.</w:t>
            </w:r>
          </w:p>
        </w:tc>
      </w:tr>
      <w:tr w:rsidR="008104AE" w:rsidTr="008104AE">
        <w:trPr>
          <w:trHeight w:val="1200"/>
        </w:trPr>
        <w:tc>
          <w:tcPr>
            <w:tcW w:w="10194" w:type="dxa"/>
            <w:shd w:val="clear" w:color="auto" w:fill="F2F2F2" w:themeFill="background1" w:themeFillShade="F2"/>
          </w:tcPr>
          <w:p w:rsidR="008104AE" w:rsidRPr="00CC2A47" w:rsidRDefault="008104AE" w:rsidP="008104AE">
            <w:pPr>
              <w:spacing w:before="120" w:after="240" w:line="360" w:lineRule="auto"/>
              <w:jc w:val="center"/>
              <w:rPr>
                <w:rFonts w:ascii="Times New Roman" w:eastAsia="Times New Roman" w:hAnsi="Times New Roman"/>
                <w:i/>
                <w:iCs/>
                <w:color w:val="444444"/>
                <w:sz w:val="16"/>
                <w:szCs w:val="16"/>
                <w:lang w:eastAsia="pl-PL"/>
              </w:rPr>
            </w:pPr>
            <w:r w:rsidRPr="00CC2A47">
              <w:rPr>
                <w:rFonts w:ascii="Times New Roman" w:eastAsia="Times New Roman" w:hAnsi="Times New Roman"/>
                <w:i/>
                <w:iCs/>
                <w:color w:val="444444"/>
                <w:sz w:val="16"/>
                <w:szCs w:val="16"/>
                <w:lang w:eastAsia="pl-PL"/>
              </w:rPr>
              <w:lastRenderedPageBreak/>
              <w:t>Artykuł 6</w:t>
            </w:r>
          </w:p>
          <w:p w:rsidR="008104AE" w:rsidRPr="00CC2A47" w:rsidRDefault="008104AE" w:rsidP="008104AE">
            <w:pPr>
              <w:spacing w:after="120" w:line="360" w:lineRule="auto"/>
              <w:jc w:val="center"/>
              <w:rPr>
                <w:rFonts w:ascii="Times New Roman" w:eastAsia="Times New Roman" w:hAnsi="Times New Roman"/>
                <w:b/>
                <w:bCs/>
                <w:color w:val="444444"/>
                <w:sz w:val="16"/>
                <w:szCs w:val="16"/>
                <w:lang w:eastAsia="pl-PL"/>
              </w:rPr>
            </w:pPr>
            <w:r w:rsidRPr="00CC2A47">
              <w:rPr>
                <w:rFonts w:ascii="Times New Roman" w:eastAsia="Times New Roman" w:hAnsi="Times New Roman"/>
                <w:b/>
                <w:bCs/>
                <w:color w:val="444444"/>
                <w:sz w:val="16"/>
                <w:szCs w:val="16"/>
                <w:lang w:eastAsia="pl-PL"/>
              </w:rPr>
              <w:t>Ustalenie danych przedsiębiorstwa</w:t>
            </w:r>
          </w:p>
          <w:p w:rsidR="008104AE" w:rsidRDefault="008104AE" w:rsidP="008104AE">
            <w:pPr>
              <w:pStyle w:val="Akapitzlist"/>
              <w:numPr>
                <w:ilvl w:val="0"/>
                <w:numId w:val="16"/>
              </w:numPr>
              <w:tabs>
                <w:tab w:val="left" w:pos="426"/>
              </w:tabs>
              <w:spacing w:after="120" w:line="360" w:lineRule="auto"/>
              <w:ind w:left="426" w:hanging="426"/>
              <w:jc w:val="both"/>
              <w:rPr>
                <w:color w:val="444444"/>
                <w:sz w:val="16"/>
                <w:szCs w:val="16"/>
              </w:rPr>
            </w:pPr>
            <w:r w:rsidRPr="00104338">
              <w:rPr>
                <w:color w:val="444444"/>
                <w:sz w:val="16"/>
                <w:szCs w:val="16"/>
              </w:rPr>
              <w:t>W przypadku przedsiębiorstwa samodzielnego dane, w tym liczba pracowników, ustalane są wyłącznie na podstawie jego ksiąg rachunkowych.</w:t>
            </w:r>
          </w:p>
          <w:p w:rsidR="008104AE" w:rsidRDefault="008104AE" w:rsidP="008104AE">
            <w:pPr>
              <w:pStyle w:val="Akapitzlist"/>
              <w:numPr>
                <w:ilvl w:val="0"/>
                <w:numId w:val="16"/>
              </w:numPr>
              <w:tabs>
                <w:tab w:val="left" w:pos="426"/>
              </w:tabs>
              <w:spacing w:after="120" w:line="360" w:lineRule="auto"/>
              <w:ind w:left="426" w:hanging="426"/>
              <w:jc w:val="both"/>
              <w:rPr>
                <w:color w:val="444444"/>
                <w:sz w:val="16"/>
                <w:szCs w:val="16"/>
              </w:rPr>
            </w:pPr>
            <w:r w:rsidRPr="00104338">
              <w:rPr>
                <w:color w:val="444444"/>
                <w:sz w:val="16"/>
                <w:szCs w:val="16"/>
              </w:rPr>
              <w:t>W przypadku przedsiębiorstwa mającego przedsiębiorstwa partnerskie lub przedsiębiorstwa powiązane dane, w tym dane dotyczące liczby pracowników, ustalane są na podstawie ksiąg rachunkowych i innych danych przedsiębiorstwa lub, jeżeli istnieją, skonsolidowanego sprawozdania finansowego danego przedsiębiorstwa lub skonsolidowanego sprawozdania finansowego innego przedsiębiorstwa, w którym ujęto odnośne przedsiębiorstwo.</w:t>
            </w:r>
          </w:p>
          <w:p w:rsidR="008104AE" w:rsidRDefault="008104AE" w:rsidP="008104AE">
            <w:pPr>
              <w:pStyle w:val="Akapitzlist"/>
              <w:tabs>
                <w:tab w:val="left" w:pos="426"/>
              </w:tabs>
              <w:spacing w:after="120" w:line="360" w:lineRule="auto"/>
              <w:ind w:left="426"/>
              <w:jc w:val="both"/>
              <w:rPr>
                <w:color w:val="444444"/>
                <w:sz w:val="16"/>
                <w:szCs w:val="16"/>
              </w:rPr>
            </w:pPr>
            <w:r w:rsidRPr="005F0F11">
              <w:rPr>
                <w:color w:val="444444"/>
                <w:sz w:val="16"/>
                <w:szCs w:val="16"/>
              </w:rPr>
              <w:t>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w:t>
            </w:r>
          </w:p>
          <w:p w:rsidR="008104AE" w:rsidRPr="005F0F11" w:rsidRDefault="008104AE" w:rsidP="008104AE">
            <w:pPr>
              <w:pStyle w:val="Akapitzlist"/>
              <w:tabs>
                <w:tab w:val="left" w:pos="426"/>
                <w:tab w:val="right" w:pos="10204"/>
              </w:tabs>
              <w:spacing w:after="120" w:line="360" w:lineRule="auto"/>
              <w:ind w:left="426"/>
              <w:jc w:val="both"/>
              <w:rPr>
                <w:color w:val="444444"/>
                <w:sz w:val="16"/>
                <w:szCs w:val="16"/>
              </w:rPr>
            </w:pPr>
            <w:r w:rsidRPr="005F0F11">
              <w:rPr>
                <w:color w:val="444444"/>
                <w:sz w:val="16"/>
                <w:szCs w:val="16"/>
              </w:rPr>
              <w:t>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w:t>
            </w:r>
          </w:p>
          <w:p w:rsidR="008104AE" w:rsidRDefault="008104AE" w:rsidP="008104AE">
            <w:pPr>
              <w:pStyle w:val="Akapitzlist"/>
              <w:numPr>
                <w:ilvl w:val="0"/>
                <w:numId w:val="16"/>
              </w:numPr>
              <w:tabs>
                <w:tab w:val="left" w:pos="426"/>
              </w:tabs>
              <w:spacing w:after="120" w:line="360" w:lineRule="auto"/>
              <w:ind w:left="426" w:hanging="426"/>
              <w:jc w:val="both"/>
              <w:rPr>
                <w:color w:val="444444"/>
                <w:sz w:val="16"/>
                <w:szCs w:val="16"/>
              </w:rPr>
            </w:pPr>
            <w:r w:rsidRPr="00104338">
              <w:rPr>
                <w:color w:val="444444"/>
                <w:sz w:val="16"/>
                <w:szCs w:val="16"/>
              </w:rPr>
              <w:t>Do celów stosowania ust. 2 dane przedsiębiorstw partnerskich odnośnego przedsiębiorstwa pochodzą z ich ksiąg rachunkowych i innych danych, w</w:t>
            </w:r>
            <w:r>
              <w:rPr>
                <w:color w:val="444444"/>
                <w:sz w:val="16"/>
                <w:szCs w:val="16"/>
              </w:rPr>
              <w:t> </w:t>
            </w:r>
            <w:r w:rsidRPr="00104338">
              <w:rPr>
                <w:color w:val="444444"/>
                <w:sz w:val="16"/>
                <w:szCs w:val="16"/>
              </w:rPr>
              <w:t>tym ze skonsolidowanego sprawozdania finansowego, jeżeli takie istnieje. Dane te uzupełnia się pełnymi danymi przedsiębiorstw powiązanych z</w:t>
            </w:r>
            <w:r>
              <w:rPr>
                <w:color w:val="444444"/>
                <w:sz w:val="16"/>
                <w:szCs w:val="16"/>
              </w:rPr>
              <w:t> </w:t>
            </w:r>
            <w:r w:rsidRPr="00104338">
              <w:rPr>
                <w:color w:val="444444"/>
                <w:sz w:val="16"/>
                <w:szCs w:val="16"/>
              </w:rPr>
              <w:t>tymi przedsiębiorstwami partnerskimi, chyba że ich dane podano już w ramach skonsolidowanego sprawozdania finansowego.</w:t>
            </w:r>
          </w:p>
          <w:p w:rsidR="008104AE" w:rsidRDefault="008104AE" w:rsidP="008104AE">
            <w:pPr>
              <w:pStyle w:val="Akapitzlist"/>
              <w:tabs>
                <w:tab w:val="left" w:pos="426"/>
                <w:tab w:val="right" w:pos="10204"/>
              </w:tabs>
              <w:spacing w:after="120" w:line="360" w:lineRule="auto"/>
              <w:ind w:left="426"/>
              <w:jc w:val="both"/>
              <w:rPr>
                <w:color w:val="444444"/>
                <w:sz w:val="16"/>
                <w:szCs w:val="16"/>
              </w:rPr>
            </w:pPr>
            <w:r w:rsidRPr="00104338">
              <w:rPr>
                <w:color w:val="444444"/>
                <w:sz w:val="16"/>
                <w:szCs w:val="16"/>
              </w:rPr>
              <w:t>Do celów stosowania tego samego ust. 2 dane przedsiębiorstw powiązanych z odnośnym przedsiębiorstwem pochodzą z ich ksiąg rachunkowych i</w:t>
            </w:r>
            <w:r>
              <w:rPr>
                <w:color w:val="444444"/>
                <w:sz w:val="16"/>
                <w:szCs w:val="16"/>
              </w:rPr>
              <w:t> </w:t>
            </w:r>
            <w:r w:rsidRPr="00104338">
              <w:rPr>
                <w:color w:val="444444"/>
                <w:sz w:val="16"/>
                <w:szCs w:val="16"/>
              </w:rPr>
              <w:t xml:space="preserve">innych danych, w tym ze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w:t>
            </w:r>
            <w:r w:rsidRPr="00104338">
              <w:rPr>
                <w:sz w:val="16"/>
                <w:szCs w:val="16"/>
              </w:rPr>
              <w:t>finansowym</w:t>
            </w:r>
            <w:r w:rsidRPr="00104338">
              <w:rPr>
                <w:color w:val="444444"/>
                <w:sz w:val="16"/>
                <w:szCs w:val="16"/>
              </w:rPr>
              <w:t xml:space="preserve"> w stosunku co najmniej proporcjonalnym do udziału określonego w ust. 2 akapit drugi.</w:t>
            </w:r>
          </w:p>
          <w:p w:rsidR="008104AE" w:rsidRPr="00CC2A47" w:rsidRDefault="008104AE" w:rsidP="008104AE">
            <w:pPr>
              <w:pStyle w:val="Akapitzlist"/>
              <w:numPr>
                <w:ilvl w:val="0"/>
                <w:numId w:val="16"/>
              </w:numPr>
              <w:tabs>
                <w:tab w:val="left" w:pos="426"/>
              </w:tabs>
              <w:spacing w:line="360" w:lineRule="auto"/>
              <w:ind w:left="426" w:hanging="426"/>
              <w:jc w:val="both"/>
              <w:rPr>
                <w:b/>
                <w:i/>
                <w:iCs/>
                <w:color w:val="444444"/>
                <w:sz w:val="16"/>
                <w:szCs w:val="16"/>
              </w:rPr>
            </w:pPr>
            <w:r w:rsidRPr="00104338">
              <w:rPr>
                <w:color w:val="444444"/>
                <w:sz w:val="16"/>
                <w:szCs w:val="16"/>
              </w:rPr>
              <w:t>W przypadku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w:t>
            </w:r>
          </w:p>
        </w:tc>
      </w:tr>
    </w:tbl>
    <w:p w:rsidR="00CB77DE" w:rsidRPr="006209BA" w:rsidRDefault="00CB77DE" w:rsidP="00696B88">
      <w:pPr>
        <w:rPr>
          <w:rFonts w:ascii="Times New Roman" w:hAnsi="Times New Roman"/>
          <w:b/>
          <w:sz w:val="18"/>
          <w:szCs w:val="18"/>
        </w:rPr>
      </w:pPr>
    </w:p>
    <w:sectPr w:rsidR="00CB77DE" w:rsidRPr="006209BA" w:rsidSect="002E39E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D8" w:rsidRDefault="002973D8" w:rsidP="00F47101">
      <w:pPr>
        <w:spacing w:after="0" w:line="240" w:lineRule="auto"/>
      </w:pPr>
      <w:r>
        <w:separator/>
      </w:r>
    </w:p>
  </w:endnote>
  <w:endnote w:type="continuationSeparator" w:id="0">
    <w:p w:rsidR="002973D8" w:rsidRDefault="002973D8" w:rsidP="00F4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ttaw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01" w:rsidRDefault="007C5CC2" w:rsidP="002E39E5">
    <w:pPr>
      <w:pStyle w:val="Stopka"/>
      <w:jc w:val="right"/>
    </w:pPr>
    <w:r>
      <w:fldChar w:fldCharType="begin"/>
    </w:r>
    <w:r w:rsidR="00F47101">
      <w:instrText>PAGE   \* MERGEFORMAT</w:instrText>
    </w:r>
    <w:r>
      <w:fldChar w:fldCharType="separate"/>
    </w:r>
    <w:r w:rsidR="009C2B7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D8" w:rsidRDefault="002973D8" w:rsidP="00F47101">
      <w:pPr>
        <w:spacing w:after="0" w:line="240" w:lineRule="auto"/>
      </w:pPr>
      <w:r>
        <w:separator/>
      </w:r>
    </w:p>
  </w:footnote>
  <w:footnote w:type="continuationSeparator" w:id="0">
    <w:p w:rsidR="002973D8" w:rsidRDefault="002973D8" w:rsidP="00F47101">
      <w:pPr>
        <w:spacing w:after="0" w:line="240" w:lineRule="auto"/>
      </w:pPr>
      <w:r>
        <w:continuationSeparator/>
      </w:r>
    </w:p>
  </w:footnote>
  <w:footnote w:id="1">
    <w:p w:rsidR="001C56EC" w:rsidRPr="001C56EC" w:rsidRDefault="001C56EC" w:rsidP="001C56EC">
      <w:pPr>
        <w:pStyle w:val="Tekstprzypisudolnego"/>
        <w:rPr>
          <w:b/>
        </w:rPr>
      </w:pPr>
      <w:r w:rsidRPr="001C56EC">
        <w:rPr>
          <w:rStyle w:val="Odwoanieprzypisudolnego"/>
          <w:b/>
        </w:rPr>
        <w:footnoteRef/>
      </w:r>
      <w:r w:rsidRPr="001C56EC">
        <w:rPr>
          <w:b/>
        </w:rPr>
        <w:t xml:space="preserve"> </w:t>
      </w:r>
      <w:r w:rsidRPr="001C56EC">
        <w:rPr>
          <w:b/>
        </w:rPr>
        <w:t>U</w:t>
      </w:r>
      <w:r w:rsidRPr="001C56EC">
        <w:rPr>
          <w:b/>
        </w:rPr>
        <w:t>waga</w:t>
      </w:r>
      <w:r w:rsidRPr="001C56EC">
        <w:rPr>
          <w:b/>
        </w:rPr>
        <w:t>:</w:t>
      </w:r>
      <w:r w:rsidRPr="001C56EC">
        <w:rPr>
          <w:b/>
        </w:rPr>
        <w:t xml:space="preserve"> MŚP w rozumieniu przepisów rozporządzenia Komisji (UE) 702/2014 jest również osoba fizyczna, która prowadzi działalność związaną z hodowlą koni, w tym z oceną ich wartości użytkowej, m.in. w sporcie jeździeckim (MPMK).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56"/>
    <w:multiLevelType w:val="hybridMultilevel"/>
    <w:tmpl w:val="5EC638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0304A4"/>
    <w:multiLevelType w:val="hybridMultilevel"/>
    <w:tmpl w:val="88EC6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366623"/>
    <w:multiLevelType w:val="multilevel"/>
    <w:tmpl w:val="327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1113A"/>
    <w:multiLevelType w:val="hybridMultilevel"/>
    <w:tmpl w:val="1D802266"/>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15:restartNumberingAfterBreak="0">
    <w:nsid w:val="1DDA64D7"/>
    <w:multiLevelType w:val="multilevel"/>
    <w:tmpl w:val="77B275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2A1C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5026D4"/>
    <w:multiLevelType w:val="hybridMultilevel"/>
    <w:tmpl w:val="CDA6CDFA"/>
    <w:lvl w:ilvl="0" w:tplc="9F703BF0">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10DCA"/>
    <w:multiLevelType w:val="hybridMultilevel"/>
    <w:tmpl w:val="55CCD4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EA87118"/>
    <w:multiLevelType w:val="hybridMultilevel"/>
    <w:tmpl w:val="EAFA4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9C7E94"/>
    <w:multiLevelType w:val="hybridMultilevel"/>
    <w:tmpl w:val="D02CB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E01E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AC9584C"/>
    <w:multiLevelType w:val="multilevel"/>
    <w:tmpl w:val="681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B1D73"/>
    <w:multiLevelType w:val="hybridMultilevel"/>
    <w:tmpl w:val="E7846044"/>
    <w:lvl w:ilvl="0" w:tplc="9F703BF0">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3828F9"/>
    <w:multiLevelType w:val="multilevel"/>
    <w:tmpl w:val="1978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75B2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62B507D5"/>
    <w:multiLevelType w:val="hybridMultilevel"/>
    <w:tmpl w:val="150CC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61121D"/>
    <w:multiLevelType w:val="hybridMultilevel"/>
    <w:tmpl w:val="43649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A537F2"/>
    <w:multiLevelType w:val="hybridMultilevel"/>
    <w:tmpl w:val="20EEC766"/>
    <w:lvl w:ilvl="0" w:tplc="9F703BF0">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0"/>
  </w:num>
  <w:num w:numId="5">
    <w:abstractNumId w:val="14"/>
  </w:num>
  <w:num w:numId="6">
    <w:abstractNumId w:val="1"/>
  </w:num>
  <w:num w:numId="7">
    <w:abstractNumId w:val="3"/>
  </w:num>
  <w:num w:numId="8">
    <w:abstractNumId w:val="7"/>
  </w:num>
  <w:num w:numId="9">
    <w:abstractNumId w:val="0"/>
  </w:num>
  <w:num w:numId="10">
    <w:abstractNumId w:val="8"/>
  </w:num>
  <w:num w:numId="11">
    <w:abstractNumId w:val="15"/>
  </w:num>
  <w:num w:numId="12">
    <w:abstractNumId w:val="9"/>
  </w:num>
  <w:num w:numId="13">
    <w:abstractNumId w:val="4"/>
  </w:num>
  <w:num w:numId="14">
    <w:abstractNumId w:val="6"/>
  </w:num>
  <w:num w:numId="15">
    <w:abstractNumId w:val="12"/>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73"/>
    <w:rsid w:val="0000101F"/>
    <w:rsid w:val="000065B9"/>
    <w:rsid w:val="0003173F"/>
    <w:rsid w:val="00047A9A"/>
    <w:rsid w:val="000949B5"/>
    <w:rsid w:val="00095460"/>
    <w:rsid w:val="000A40D3"/>
    <w:rsid w:val="00104338"/>
    <w:rsid w:val="00121206"/>
    <w:rsid w:val="001221B7"/>
    <w:rsid w:val="00181F95"/>
    <w:rsid w:val="00182B77"/>
    <w:rsid w:val="001B3D92"/>
    <w:rsid w:val="001C56EC"/>
    <w:rsid w:val="001D48E3"/>
    <w:rsid w:val="002217C0"/>
    <w:rsid w:val="002266CA"/>
    <w:rsid w:val="002565AE"/>
    <w:rsid w:val="002973D8"/>
    <w:rsid w:val="002B71D1"/>
    <w:rsid w:val="002E39E5"/>
    <w:rsid w:val="003109B7"/>
    <w:rsid w:val="0031730B"/>
    <w:rsid w:val="00353983"/>
    <w:rsid w:val="00365A15"/>
    <w:rsid w:val="003972AC"/>
    <w:rsid w:val="003D32EC"/>
    <w:rsid w:val="00482B73"/>
    <w:rsid w:val="004B2FBA"/>
    <w:rsid w:val="004E6301"/>
    <w:rsid w:val="00586D31"/>
    <w:rsid w:val="005C45C3"/>
    <w:rsid w:val="005D4354"/>
    <w:rsid w:val="005F0F11"/>
    <w:rsid w:val="006209BA"/>
    <w:rsid w:val="00694E51"/>
    <w:rsid w:val="00696B88"/>
    <w:rsid w:val="006D154C"/>
    <w:rsid w:val="00713A8C"/>
    <w:rsid w:val="00717B63"/>
    <w:rsid w:val="007A6F99"/>
    <w:rsid w:val="007C5CC2"/>
    <w:rsid w:val="008104AE"/>
    <w:rsid w:val="0084320B"/>
    <w:rsid w:val="008912DE"/>
    <w:rsid w:val="008A57F1"/>
    <w:rsid w:val="008A5DE2"/>
    <w:rsid w:val="008C7D6F"/>
    <w:rsid w:val="00906424"/>
    <w:rsid w:val="00963FD3"/>
    <w:rsid w:val="00990C2F"/>
    <w:rsid w:val="009A361F"/>
    <w:rsid w:val="009C2B71"/>
    <w:rsid w:val="009D64B4"/>
    <w:rsid w:val="00A44228"/>
    <w:rsid w:val="00A736CB"/>
    <w:rsid w:val="00AB3644"/>
    <w:rsid w:val="00C15320"/>
    <w:rsid w:val="00CB3F77"/>
    <w:rsid w:val="00CB77DE"/>
    <w:rsid w:val="00CC2A47"/>
    <w:rsid w:val="00CD4B10"/>
    <w:rsid w:val="00D13ED9"/>
    <w:rsid w:val="00D53079"/>
    <w:rsid w:val="00D56DBE"/>
    <w:rsid w:val="00D62BBA"/>
    <w:rsid w:val="00D9664A"/>
    <w:rsid w:val="00DF4381"/>
    <w:rsid w:val="00E10862"/>
    <w:rsid w:val="00E238D2"/>
    <w:rsid w:val="00E30250"/>
    <w:rsid w:val="00ED2259"/>
    <w:rsid w:val="00F47101"/>
    <w:rsid w:val="00F624BA"/>
    <w:rsid w:val="00FB386C"/>
    <w:rsid w:val="00FB613F"/>
    <w:rsid w:val="00FC2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2C42A-2AF6-4DA6-AACA-2F047ADD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CC2"/>
    <w:pPr>
      <w:spacing w:after="200" w:line="276" w:lineRule="auto"/>
    </w:pPr>
    <w:rPr>
      <w:sz w:val="22"/>
      <w:szCs w:val="22"/>
      <w:lang w:eastAsia="en-US"/>
    </w:rPr>
  </w:style>
  <w:style w:type="paragraph" w:styleId="Nagwek1">
    <w:name w:val="heading 1"/>
    <w:basedOn w:val="Normalny"/>
    <w:next w:val="Normalny"/>
    <w:link w:val="Nagwek1Znak"/>
    <w:uiPriority w:val="9"/>
    <w:qFormat/>
    <w:rsid w:val="00694E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uiPriority w:val="99"/>
    <w:qFormat/>
    <w:rsid w:val="000949B5"/>
    <w:pPr>
      <w:keepNext/>
      <w:spacing w:after="0" w:line="240" w:lineRule="auto"/>
      <w:jc w:val="center"/>
      <w:outlineLvl w:val="4"/>
    </w:pPr>
    <w:rPr>
      <w:rFonts w:ascii="Ottawa" w:eastAsia="Times New Roman" w:hAnsi="Ottawa" w:cs="Ottawa"/>
      <w:b/>
      <w:bCs/>
      <w:sz w:val="24"/>
      <w:szCs w:val="24"/>
      <w:lang w:eastAsia="pl-PL"/>
    </w:rPr>
  </w:style>
  <w:style w:type="paragraph" w:styleId="Nagwek6">
    <w:name w:val="heading 6"/>
    <w:basedOn w:val="Normalny"/>
    <w:next w:val="Normalny"/>
    <w:link w:val="Nagwek6Znak"/>
    <w:uiPriority w:val="99"/>
    <w:qFormat/>
    <w:rsid w:val="000949B5"/>
    <w:pPr>
      <w:keepNext/>
      <w:spacing w:after="0" w:line="240" w:lineRule="auto"/>
      <w:jc w:val="both"/>
      <w:outlineLvl w:val="5"/>
    </w:pPr>
    <w:rPr>
      <w:rFonts w:ascii="Ottawa" w:eastAsia="Times New Roman" w:hAnsi="Ottawa" w:cs="Ottawa"/>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0949B5"/>
    <w:rPr>
      <w:rFonts w:ascii="Ottawa" w:eastAsia="Times New Roman" w:hAnsi="Ottawa" w:cs="Ottawa"/>
      <w:b/>
      <w:bCs/>
      <w:sz w:val="24"/>
      <w:szCs w:val="24"/>
      <w:lang w:eastAsia="pl-PL"/>
    </w:rPr>
  </w:style>
  <w:style w:type="character" w:customStyle="1" w:styleId="Nagwek6Znak">
    <w:name w:val="Nagłówek 6 Znak"/>
    <w:basedOn w:val="Domylnaczcionkaakapitu"/>
    <w:link w:val="Nagwek6"/>
    <w:uiPriority w:val="99"/>
    <w:rsid w:val="000949B5"/>
    <w:rPr>
      <w:rFonts w:ascii="Ottawa" w:eastAsia="Times New Roman" w:hAnsi="Ottawa" w:cs="Ottawa"/>
      <w:b/>
      <w:bCs/>
      <w:lang w:eastAsia="pl-PL"/>
    </w:rPr>
  </w:style>
  <w:style w:type="paragraph" w:styleId="Tekstpodstawowy">
    <w:name w:val="Body Text"/>
    <w:basedOn w:val="Normalny"/>
    <w:link w:val="TekstpodstawowyZnak"/>
    <w:uiPriority w:val="99"/>
    <w:rsid w:val="000949B5"/>
    <w:pPr>
      <w:spacing w:after="0" w:line="240" w:lineRule="auto"/>
      <w:jc w:val="both"/>
    </w:pPr>
    <w:rPr>
      <w:rFonts w:ascii="Ottawa" w:eastAsia="Times New Roman" w:hAnsi="Ottawa" w:cs="Ottawa"/>
      <w:sz w:val="24"/>
      <w:szCs w:val="24"/>
      <w:lang w:eastAsia="pl-PL"/>
    </w:rPr>
  </w:style>
  <w:style w:type="character" w:customStyle="1" w:styleId="TekstpodstawowyZnak">
    <w:name w:val="Tekst podstawowy Znak"/>
    <w:basedOn w:val="Domylnaczcionkaakapitu"/>
    <w:link w:val="Tekstpodstawowy"/>
    <w:uiPriority w:val="99"/>
    <w:rsid w:val="000949B5"/>
    <w:rPr>
      <w:rFonts w:ascii="Ottawa" w:eastAsia="Times New Roman" w:hAnsi="Ottawa" w:cs="Ottawa"/>
      <w:sz w:val="24"/>
      <w:szCs w:val="24"/>
      <w:lang w:eastAsia="pl-PL"/>
    </w:rPr>
  </w:style>
  <w:style w:type="paragraph" w:styleId="Tekstpodstawowy2">
    <w:name w:val="Body Text 2"/>
    <w:basedOn w:val="Normalny"/>
    <w:link w:val="Tekstpodstawowy2Znak"/>
    <w:uiPriority w:val="99"/>
    <w:rsid w:val="000949B5"/>
    <w:pPr>
      <w:tabs>
        <w:tab w:val="right" w:pos="284"/>
        <w:tab w:val="left" w:pos="408"/>
      </w:tabs>
      <w:spacing w:after="0" w:line="240" w:lineRule="auto"/>
      <w:ind w:left="408" w:hanging="408"/>
      <w:jc w:val="both"/>
    </w:pPr>
    <w:rPr>
      <w:rFonts w:ascii="Ottawa" w:eastAsia="Times New Roman" w:hAnsi="Ottawa" w:cs="Ottawa"/>
      <w:sz w:val="20"/>
      <w:szCs w:val="20"/>
      <w:lang w:eastAsia="pl-PL"/>
    </w:rPr>
  </w:style>
  <w:style w:type="character" w:customStyle="1" w:styleId="Tekstpodstawowy2Znak">
    <w:name w:val="Tekst podstawowy 2 Znak"/>
    <w:basedOn w:val="Domylnaczcionkaakapitu"/>
    <w:link w:val="Tekstpodstawowy2"/>
    <w:uiPriority w:val="99"/>
    <w:rsid w:val="000949B5"/>
    <w:rPr>
      <w:rFonts w:ascii="Ottawa" w:eastAsia="Times New Roman" w:hAnsi="Ottawa" w:cs="Ottawa"/>
      <w:sz w:val="20"/>
      <w:szCs w:val="20"/>
      <w:lang w:eastAsia="pl-PL"/>
    </w:rPr>
  </w:style>
  <w:style w:type="paragraph" w:styleId="Tekstpodstawowy3">
    <w:name w:val="Body Text 3"/>
    <w:basedOn w:val="Normalny"/>
    <w:link w:val="Tekstpodstawowy3Znak"/>
    <w:uiPriority w:val="99"/>
    <w:rsid w:val="000949B5"/>
    <w:pPr>
      <w:spacing w:after="0" w:line="240" w:lineRule="auto"/>
      <w:jc w:val="both"/>
    </w:pPr>
    <w:rPr>
      <w:rFonts w:ascii="Ottawa" w:eastAsia="Times New Roman" w:hAnsi="Ottawa" w:cs="Ottawa"/>
      <w:sz w:val="20"/>
      <w:szCs w:val="20"/>
      <w:lang w:eastAsia="pl-PL"/>
    </w:rPr>
  </w:style>
  <w:style w:type="character" w:customStyle="1" w:styleId="Tekstpodstawowy3Znak">
    <w:name w:val="Tekst podstawowy 3 Znak"/>
    <w:basedOn w:val="Domylnaczcionkaakapitu"/>
    <w:link w:val="Tekstpodstawowy3"/>
    <w:uiPriority w:val="99"/>
    <w:rsid w:val="000949B5"/>
    <w:rPr>
      <w:rFonts w:ascii="Ottawa" w:eastAsia="Times New Roman" w:hAnsi="Ottawa" w:cs="Ottawa"/>
      <w:sz w:val="20"/>
      <w:szCs w:val="20"/>
      <w:lang w:eastAsia="pl-PL"/>
    </w:rPr>
  </w:style>
  <w:style w:type="paragraph" w:styleId="Tekstpodstawowywcity2">
    <w:name w:val="Body Text Indent 2"/>
    <w:basedOn w:val="Normalny"/>
    <w:link w:val="Tekstpodstawowywcity2Znak"/>
    <w:uiPriority w:val="99"/>
    <w:rsid w:val="000949B5"/>
    <w:pPr>
      <w:spacing w:after="0" w:line="240" w:lineRule="auto"/>
      <w:ind w:left="426"/>
    </w:pPr>
    <w:rPr>
      <w:rFonts w:ascii="Ottawa" w:eastAsia="Times New Roman" w:hAnsi="Ottawa" w:cs="Ottawa"/>
      <w:sz w:val="20"/>
      <w:szCs w:val="20"/>
      <w:lang w:eastAsia="pl-PL"/>
    </w:rPr>
  </w:style>
  <w:style w:type="character" w:customStyle="1" w:styleId="Tekstpodstawowywcity2Znak">
    <w:name w:val="Tekst podstawowy wcięty 2 Znak"/>
    <w:basedOn w:val="Domylnaczcionkaakapitu"/>
    <w:link w:val="Tekstpodstawowywcity2"/>
    <w:uiPriority w:val="99"/>
    <w:rsid w:val="000949B5"/>
    <w:rPr>
      <w:rFonts w:ascii="Ottawa" w:eastAsia="Times New Roman" w:hAnsi="Ottawa" w:cs="Ottawa"/>
      <w:sz w:val="20"/>
      <w:szCs w:val="20"/>
      <w:lang w:eastAsia="pl-PL"/>
    </w:rPr>
  </w:style>
  <w:style w:type="paragraph" w:styleId="Tekstpodstawowywcity3">
    <w:name w:val="Body Text Indent 3"/>
    <w:basedOn w:val="Normalny"/>
    <w:link w:val="Tekstpodstawowywcity3Znak"/>
    <w:uiPriority w:val="99"/>
    <w:rsid w:val="000949B5"/>
    <w:pPr>
      <w:tabs>
        <w:tab w:val="right" w:pos="284"/>
        <w:tab w:val="left" w:pos="709"/>
      </w:tabs>
      <w:spacing w:after="0" w:line="240" w:lineRule="auto"/>
      <w:ind w:left="709" w:hanging="235"/>
      <w:jc w:val="both"/>
    </w:pPr>
    <w:rPr>
      <w:rFonts w:ascii="Ottawa" w:eastAsia="Times New Roman" w:hAnsi="Ottawa" w:cs="Ottawa"/>
      <w:sz w:val="20"/>
      <w:szCs w:val="20"/>
      <w:lang w:eastAsia="pl-PL"/>
    </w:rPr>
  </w:style>
  <w:style w:type="character" w:customStyle="1" w:styleId="Tekstpodstawowywcity3Znak">
    <w:name w:val="Tekst podstawowy wcięty 3 Znak"/>
    <w:basedOn w:val="Domylnaczcionkaakapitu"/>
    <w:link w:val="Tekstpodstawowywcity3"/>
    <w:uiPriority w:val="99"/>
    <w:rsid w:val="000949B5"/>
    <w:rPr>
      <w:rFonts w:ascii="Ottawa" w:eastAsia="Times New Roman" w:hAnsi="Ottawa" w:cs="Ottawa"/>
      <w:sz w:val="20"/>
      <w:szCs w:val="20"/>
      <w:lang w:eastAsia="pl-PL"/>
    </w:rPr>
  </w:style>
  <w:style w:type="paragraph" w:styleId="Akapitzlist">
    <w:name w:val="List Paragraph"/>
    <w:basedOn w:val="Normalny"/>
    <w:uiPriority w:val="34"/>
    <w:qFormat/>
    <w:rsid w:val="000949B5"/>
    <w:pPr>
      <w:spacing w:after="0" w:line="240" w:lineRule="auto"/>
      <w:ind w:left="708"/>
    </w:pPr>
    <w:rPr>
      <w:rFonts w:ascii="Times New Roman" w:eastAsia="Times New Roman" w:hAnsi="Times New Roman"/>
      <w:sz w:val="20"/>
      <w:szCs w:val="20"/>
      <w:lang w:eastAsia="pl-PL"/>
    </w:rPr>
  </w:style>
  <w:style w:type="paragraph" w:styleId="Bezodstpw">
    <w:name w:val="No Spacing"/>
    <w:uiPriority w:val="1"/>
    <w:qFormat/>
    <w:rsid w:val="00963FD3"/>
    <w:rPr>
      <w:sz w:val="22"/>
      <w:szCs w:val="22"/>
      <w:lang w:eastAsia="en-US"/>
    </w:rPr>
  </w:style>
  <w:style w:type="paragraph" w:styleId="Tekstdymka">
    <w:name w:val="Balloon Text"/>
    <w:basedOn w:val="Normalny"/>
    <w:link w:val="TekstdymkaZnak"/>
    <w:uiPriority w:val="99"/>
    <w:semiHidden/>
    <w:unhideWhenUsed/>
    <w:rsid w:val="009A3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361F"/>
    <w:rPr>
      <w:rFonts w:ascii="Tahoma" w:hAnsi="Tahoma" w:cs="Tahoma"/>
      <w:sz w:val="16"/>
      <w:szCs w:val="16"/>
    </w:rPr>
  </w:style>
  <w:style w:type="paragraph" w:styleId="Nagwek">
    <w:name w:val="header"/>
    <w:basedOn w:val="Normalny"/>
    <w:link w:val="NagwekZnak"/>
    <w:uiPriority w:val="99"/>
    <w:unhideWhenUsed/>
    <w:rsid w:val="00F471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101"/>
  </w:style>
  <w:style w:type="paragraph" w:styleId="Stopka">
    <w:name w:val="footer"/>
    <w:basedOn w:val="Normalny"/>
    <w:link w:val="StopkaZnak"/>
    <w:uiPriority w:val="99"/>
    <w:unhideWhenUsed/>
    <w:rsid w:val="00F471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101"/>
  </w:style>
  <w:style w:type="table" w:styleId="Tabela-Siatka">
    <w:name w:val="Table Grid"/>
    <w:basedOn w:val="Standardowy"/>
    <w:uiPriority w:val="59"/>
    <w:rsid w:val="00FB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94E51"/>
    <w:rPr>
      <w:rFonts w:asciiTheme="majorHAnsi" w:eastAsiaTheme="majorEastAsia" w:hAnsiTheme="majorHAnsi" w:cstheme="majorBidi"/>
      <w:color w:val="2E74B5" w:themeColor="accent1" w:themeShade="BF"/>
      <w:sz w:val="32"/>
      <w:szCs w:val="32"/>
      <w:lang w:eastAsia="en-US"/>
    </w:rPr>
  </w:style>
  <w:style w:type="paragraph" w:styleId="Tekstprzypisudolnego">
    <w:name w:val="footnote text"/>
    <w:basedOn w:val="Normalny"/>
    <w:link w:val="TekstprzypisudolnegoZnak"/>
    <w:uiPriority w:val="99"/>
    <w:unhideWhenUsed/>
    <w:rsid w:val="001C56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C56EC"/>
    <w:rPr>
      <w:lang w:eastAsia="en-US"/>
    </w:rPr>
  </w:style>
  <w:style w:type="character" w:styleId="Odwoanieprzypisudolnego">
    <w:name w:val="footnote reference"/>
    <w:basedOn w:val="Domylnaczcionkaakapitu"/>
    <w:uiPriority w:val="99"/>
    <w:semiHidden/>
    <w:unhideWhenUsed/>
    <w:rsid w:val="001C5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05384">
      <w:bodyDiv w:val="1"/>
      <w:marLeft w:val="0"/>
      <w:marRight w:val="0"/>
      <w:marTop w:val="0"/>
      <w:marBottom w:val="0"/>
      <w:divBdr>
        <w:top w:val="none" w:sz="0" w:space="0" w:color="auto"/>
        <w:left w:val="none" w:sz="0" w:space="0" w:color="auto"/>
        <w:bottom w:val="none" w:sz="0" w:space="0" w:color="auto"/>
        <w:right w:val="none" w:sz="0" w:space="0" w:color="auto"/>
      </w:divBdr>
    </w:div>
    <w:div w:id="20170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A2CF-FF54-402B-8DBE-E598A88D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1635</Words>
  <Characters>9815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Dofinansowanie OCD - załącznik 1</vt:lpstr>
    </vt:vector>
  </TitlesOfParts>
  <Company>Microsoft</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Dofinansowanie OCD - załącznik 1</dc:title>
  <dc:subject/>
  <dc:creator>Katarzyna Izak</dc:creator>
  <cp:keywords/>
  <cp:lastModifiedBy>Katarzyna Izak</cp:lastModifiedBy>
  <cp:revision>3</cp:revision>
  <cp:lastPrinted>2014-10-15T04:32:00Z</cp:lastPrinted>
  <dcterms:created xsi:type="dcterms:W3CDTF">2019-04-24T12:21:00Z</dcterms:created>
  <dcterms:modified xsi:type="dcterms:W3CDTF">2019-04-24T12:22:00Z</dcterms:modified>
</cp:coreProperties>
</file>